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5E9B92" w14:textId="77777777" w:rsidR="000478AF" w:rsidRPr="00D505AD" w:rsidRDefault="000478AF" w:rsidP="000478AF">
      <w:pPr>
        <w:shd w:val="clear" w:color="auto" w:fill="FFFFFF"/>
        <w:spacing w:line="240" w:lineRule="auto"/>
        <w:jc w:val="center"/>
        <w:rPr>
          <w:rFonts w:ascii="Calibri" w:eastAsia="Times New Roman" w:hAnsi="Calibri" w:cs="Calibri"/>
          <w:color w:val="222222"/>
        </w:rPr>
      </w:pPr>
      <w:r w:rsidRPr="00D505AD">
        <w:rPr>
          <w:rFonts w:ascii="Times New Roman" w:eastAsia="Times New Roman" w:hAnsi="Times New Roman" w:cs="Times New Roman"/>
          <w:b/>
          <w:bCs/>
          <w:color w:val="222222"/>
          <w:sz w:val="36"/>
          <w:szCs w:val="36"/>
        </w:rPr>
        <w:t>Orange Park Eye Center</w:t>
      </w:r>
    </w:p>
    <w:p w14:paraId="4B830AC7" w14:textId="77777777" w:rsidR="000478AF" w:rsidRPr="00D505AD" w:rsidRDefault="000478AF" w:rsidP="000478AF">
      <w:pPr>
        <w:shd w:val="clear" w:color="auto" w:fill="FFFFFF"/>
        <w:spacing w:line="240" w:lineRule="auto"/>
        <w:jc w:val="center"/>
        <w:rPr>
          <w:rFonts w:ascii="Calibri" w:eastAsia="Times New Roman" w:hAnsi="Calibri" w:cs="Calibri"/>
          <w:color w:val="222222"/>
        </w:rPr>
      </w:pPr>
      <w:r w:rsidRPr="00D505AD">
        <w:rPr>
          <w:rFonts w:ascii="Times New Roman" w:eastAsia="Times New Roman" w:hAnsi="Times New Roman" w:cs="Times New Roman"/>
          <w:b/>
          <w:bCs/>
          <w:i/>
          <w:iCs/>
          <w:color w:val="222222"/>
          <w:sz w:val="28"/>
          <w:szCs w:val="28"/>
        </w:rPr>
        <w:t>James</w:t>
      </w:r>
      <w:r>
        <w:rPr>
          <w:rFonts w:ascii="Times New Roman" w:eastAsia="Times New Roman" w:hAnsi="Times New Roman" w:cs="Times New Roman"/>
          <w:b/>
          <w:bCs/>
          <w:i/>
          <w:iCs/>
          <w:color w:val="222222"/>
          <w:sz w:val="28"/>
          <w:szCs w:val="28"/>
        </w:rPr>
        <w:t xml:space="preserve"> Hoffman OD, FAAO, </w:t>
      </w:r>
      <w:r w:rsidRPr="00D505AD">
        <w:rPr>
          <w:rFonts w:ascii="Times New Roman" w:eastAsia="Times New Roman" w:hAnsi="Times New Roman" w:cs="Times New Roman"/>
          <w:b/>
          <w:bCs/>
          <w:i/>
          <w:iCs/>
          <w:color w:val="222222"/>
          <w:sz w:val="28"/>
          <w:szCs w:val="28"/>
        </w:rPr>
        <w:t>Karen Hoffman</w:t>
      </w:r>
      <w:r>
        <w:rPr>
          <w:rFonts w:ascii="Times New Roman" w:eastAsia="Times New Roman" w:hAnsi="Times New Roman" w:cs="Times New Roman"/>
          <w:b/>
          <w:bCs/>
          <w:i/>
          <w:iCs/>
          <w:color w:val="222222"/>
          <w:sz w:val="28"/>
          <w:szCs w:val="28"/>
        </w:rPr>
        <w:t xml:space="preserve"> OD, FSLS</w:t>
      </w:r>
      <w:r w:rsidRPr="00D505AD">
        <w:rPr>
          <w:rFonts w:ascii="Times New Roman" w:eastAsia="Times New Roman" w:hAnsi="Times New Roman" w:cs="Times New Roman"/>
          <w:b/>
          <w:bCs/>
          <w:i/>
          <w:iCs/>
          <w:color w:val="222222"/>
          <w:sz w:val="28"/>
          <w:szCs w:val="28"/>
        </w:rPr>
        <w:t>, Christina Bowman</w:t>
      </w:r>
      <w:r>
        <w:rPr>
          <w:rFonts w:ascii="Times New Roman" w:eastAsia="Times New Roman" w:hAnsi="Times New Roman" w:cs="Times New Roman"/>
          <w:b/>
          <w:bCs/>
          <w:i/>
          <w:iCs/>
          <w:color w:val="222222"/>
          <w:sz w:val="28"/>
          <w:szCs w:val="28"/>
        </w:rPr>
        <w:t xml:space="preserve"> OD</w:t>
      </w:r>
      <w:r w:rsidRPr="00D505AD">
        <w:rPr>
          <w:rFonts w:ascii="Times New Roman" w:eastAsia="Times New Roman" w:hAnsi="Times New Roman" w:cs="Times New Roman"/>
          <w:b/>
          <w:bCs/>
          <w:i/>
          <w:iCs/>
          <w:color w:val="222222"/>
          <w:sz w:val="28"/>
          <w:szCs w:val="28"/>
        </w:rPr>
        <w:t>,</w:t>
      </w:r>
      <w:r>
        <w:rPr>
          <w:rFonts w:ascii="Times New Roman" w:eastAsia="Times New Roman" w:hAnsi="Times New Roman" w:cs="Times New Roman"/>
          <w:b/>
          <w:bCs/>
          <w:i/>
          <w:iCs/>
          <w:color w:val="222222"/>
          <w:sz w:val="28"/>
          <w:szCs w:val="28"/>
        </w:rPr>
        <w:t xml:space="preserve"> </w:t>
      </w:r>
      <w:r w:rsidRPr="00D505AD">
        <w:rPr>
          <w:rFonts w:ascii="Times New Roman" w:eastAsia="Times New Roman" w:hAnsi="Times New Roman" w:cs="Times New Roman"/>
          <w:b/>
          <w:bCs/>
          <w:i/>
          <w:iCs/>
          <w:color w:val="222222"/>
          <w:sz w:val="28"/>
          <w:szCs w:val="28"/>
        </w:rPr>
        <w:t>Jacob</w:t>
      </w:r>
      <w:r>
        <w:rPr>
          <w:rFonts w:ascii="Times New Roman" w:eastAsia="Times New Roman" w:hAnsi="Times New Roman" w:cs="Times New Roman"/>
          <w:b/>
          <w:bCs/>
          <w:i/>
          <w:iCs/>
          <w:color w:val="222222"/>
          <w:sz w:val="28"/>
          <w:szCs w:val="28"/>
        </w:rPr>
        <w:t xml:space="preserve"> Hodges OD, </w:t>
      </w:r>
      <w:r w:rsidRPr="00D505AD">
        <w:rPr>
          <w:rFonts w:ascii="Times New Roman" w:eastAsia="Times New Roman" w:hAnsi="Times New Roman" w:cs="Times New Roman"/>
          <w:b/>
          <w:bCs/>
          <w:i/>
          <w:iCs/>
          <w:color w:val="222222"/>
          <w:sz w:val="28"/>
          <w:szCs w:val="28"/>
        </w:rPr>
        <w:t>Virginia Hodges</w:t>
      </w:r>
      <w:r>
        <w:rPr>
          <w:rFonts w:ascii="Times New Roman" w:eastAsia="Times New Roman" w:hAnsi="Times New Roman" w:cs="Times New Roman"/>
          <w:b/>
          <w:bCs/>
          <w:i/>
          <w:iCs/>
          <w:color w:val="222222"/>
          <w:sz w:val="28"/>
          <w:szCs w:val="28"/>
        </w:rPr>
        <w:t xml:space="preserve"> OD &amp; Victoria Reiswig OD</w:t>
      </w:r>
    </w:p>
    <w:p w14:paraId="7D414CDB" w14:textId="77777777" w:rsidR="000478AF" w:rsidRPr="00D505AD" w:rsidRDefault="000478AF" w:rsidP="000478AF">
      <w:pPr>
        <w:shd w:val="clear" w:color="auto" w:fill="FFFFFF"/>
        <w:spacing w:line="240" w:lineRule="auto"/>
        <w:jc w:val="center"/>
        <w:rPr>
          <w:rFonts w:ascii="Calibri" w:eastAsia="Times New Roman" w:hAnsi="Calibri" w:cs="Calibri"/>
          <w:color w:val="222222"/>
        </w:rPr>
      </w:pPr>
      <w:r w:rsidRPr="00D505AD">
        <w:rPr>
          <w:rFonts w:ascii="Times New Roman" w:eastAsia="Times New Roman" w:hAnsi="Times New Roman" w:cs="Times New Roman"/>
          <w:b/>
          <w:bCs/>
          <w:color w:val="222222"/>
          <w:sz w:val="28"/>
          <w:szCs w:val="28"/>
        </w:rPr>
        <w:t>Optometric Physicians</w:t>
      </w:r>
    </w:p>
    <w:p w14:paraId="4D2E6239" w14:textId="77777777" w:rsidR="000478AF" w:rsidRPr="00D505AD" w:rsidRDefault="000478AF" w:rsidP="000478AF">
      <w:pPr>
        <w:shd w:val="clear" w:color="auto" w:fill="FFFFFF"/>
        <w:spacing w:line="240" w:lineRule="auto"/>
        <w:rPr>
          <w:rFonts w:ascii="Calibri" w:eastAsia="Times New Roman" w:hAnsi="Calibri" w:cs="Calibri"/>
          <w:color w:val="222222"/>
        </w:rPr>
      </w:pPr>
      <w:r w:rsidRPr="00D505AD">
        <w:rPr>
          <w:rFonts w:ascii="Times New Roman" w:eastAsia="Times New Roman" w:hAnsi="Times New Roman" w:cs="Times New Roman"/>
          <w:color w:val="222222"/>
          <w:sz w:val="28"/>
          <w:szCs w:val="28"/>
        </w:rPr>
        <w:t>905 Park Ave #100                                     </w:t>
      </w:r>
      <w:r>
        <w:rPr>
          <w:rFonts w:ascii="Times New Roman" w:eastAsia="Times New Roman" w:hAnsi="Times New Roman" w:cs="Times New Roman"/>
          <w:color w:val="222222"/>
          <w:sz w:val="28"/>
          <w:szCs w:val="28"/>
        </w:rPr>
        <w:t xml:space="preserve">              </w:t>
      </w:r>
      <w:r w:rsidRPr="00D505AD">
        <w:rPr>
          <w:rFonts w:ascii="Times New Roman" w:eastAsia="Times New Roman" w:hAnsi="Times New Roman" w:cs="Times New Roman"/>
          <w:color w:val="222222"/>
          <w:sz w:val="28"/>
          <w:szCs w:val="28"/>
        </w:rPr>
        <w:t xml:space="preserve">       </w:t>
      </w:r>
      <w:r>
        <w:rPr>
          <w:rFonts w:ascii="Times New Roman" w:eastAsia="Times New Roman" w:hAnsi="Times New Roman" w:cs="Times New Roman"/>
          <w:color w:val="222222"/>
          <w:sz w:val="28"/>
          <w:szCs w:val="28"/>
        </w:rPr>
        <w:t xml:space="preserve">     </w:t>
      </w:r>
      <w:r w:rsidRPr="00D505AD">
        <w:rPr>
          <w:rFonts w:ascii="Times New Roman" w:eastAsia="Times New Roman" w:hAnsi="Times New Roman" w:cs="Times New Roman"/>
          <w:color w:val="222222"/>
          <w:sz w:val="28"/>
          <w:szCs w:val="28"/>
        </w:rPr>
        <w:t>784 Blanding Blvd #100</w:t>
      </w:r>
    </w:p>
    <w:p w14:paraId="077AF782" w14:textId="77777777" w:rsidR="000478AF" w:rsidRPr="00D505AD" w:rsidRDefault="000478AF" w:rsidP="000478AF">
      <w:pPr>
        <w:shd w:val="clear" w:color="auto" w:fill="FFFFFF"/>
        <w:spacing w:line="240" w:lineRule="auto"/>
        <w:rPr>
          <w:rFonts w:ascii="Calibri" w:eastAsia="Times New Roman" w:hAnsi="Calibri" w:cs="Calibri"/>
          <w:color w:val="222222"/>
        </w:rPr>
      </w:pPr>
      <w:r w:rsidRPr="00D505AD">
        <w:rPr>
          <w:rFonts w:ascii="Times New Roman" w:eastAsia="Times New Roman" w:hAnsi="Times New Roman" w:cs="Times New Roman"/>
          <w:color w:val="222222"/>
          <w:sz w:val="28"/>
          <w:szCs w:val="28"/>
        </w:rPr>
        <w:t xml:space="preserve">Orange Park, FL  32073                                        </w:t>
      </w:r>
      <w:r>
        <w:rPr>
          <w:rFonts w:ascii="Times New Roman" w:eastAsia="Times New Roman" w:hAnsi="Times New Roman" w:cs="Times New Roman"/>
          <w:color w:val="222222"/>
          <w:sz w:val="28"/>
          <w:szCs w:val="28"/>
        </w:rPr>
        <w:t xml:space="preserve">               </w:t>
      </w:r>
      <w:r w:rsidRPr="00D505AD">
        <w:rPr>
          <w:rFonts w:ascii="Times New Roman" w:eastAsia="Times New Roman" w:hAnsi="Times New Roman" w:cs="Times New Roman"/>
          <w:color w:val="222222"/>
          <w:sz w:val="28"/>
          <w:szCs w:val="28"/>
        </w:rPr>
        <w:t>Orange Park, FL   32065</w:t>
      </w:r>
    </w:p>
    <w:p w14:paraId="1375DEB1" w14:textId="77777777" w:rsidR="000478AF" w:rsidRDefault="000478AF" w:rsidP="000478AF">
      <w:pPr>
        <w:shd w:val="clear" w:color="auto" w:fill="FFFFFF"/>
        <w:spacing w:line="253" w:lineRule="atLeast"/>
        <w:rPr>
          <w:rFonts w:ascii="Times New Roman" w:eastAsia="Times New Roman" w:hAnsi="Times New Roman" w:cs="Times New Roman"/>
          <w:color w:val="222222"/>
          <w:sz w:val="28"/>
          <w:szCs w:val="28"/>
        </w:rPr>
      </w:pPr>
      <w:r w:rsidRPr="00D505AD">
        <w:rPr>
          <w:rFonts w:ascii="Times New Roman" w:eastAsia="Times New Roman" w:hAnsi="Times New Roman" w:cs="Times New Roman"/>
          <w:color w:val="222222"/>
          <w:sz w:val="28"/>
          <w:szCs w:val="28"/>
        </w:rPr>
        <w:t xml:space="preserve">904.264.1206                                                          </w:t>
      </w:r>
      <w:r>
        <w:rPr>
          <w:rFonts w:ascii="Times New Roman" w:eastAsia="Times New Roman" w:hAnsi="Times New Roman" w:cs="Times New Roman"/>
          <w:color w:val="222222"/>
          <w:sz w:val="28"/>
          <w:szCs w:val="28"/>
        </w:rPr>
        <w:t xml:space="preserve">                               </w:t>
      </w:r>
      <w:r w:rsidRPr="00D505AD">
        <w:rPr>
          <w:rFonts w:ascii="Times New Roman" w:eastAsia="Times New Roman" w:hAnsi="Times New Roman" w:cs="Times New Roman"/>
          <w:color w:val="222222"/>
          <w:sz w:val="28"/>
          <w:szCs w:val="28"/>
        </w:rPr>
        <w:t>904.272.3937</w:t>
      </w:r>
    </w:p>
    <w:p w14:paraId="65D4F9AD" w14:textId="77777777" w:rsidR="000478AF" w:rsidRPr="00D505AD" w:rsidRDefault="000478AF" w:rsidP="000478AF">
      <w:pPr>
        <w:shd w:val="clear" w:color="auto" w:fill="FFFFFF"/>
        <w:spacing w:line="253" w:lineRule="atLeast"/>
        <w:rPr>
          <w:rFonts w:ascii="Calibri" w:eastAsia="Times New Roman" w:hAnsi="Calibri" w:cs="Calibri"/>
          <w:color w:val="222222"/>
        </w:rPr>
      </w:pPr>
    </w:p>
    <w:p w14:paraId="65B06AE6" w14:textId="00ECC79A" w:rsidR="00AF475A" w:rsidRPr="00A01827" w:rsidRDefault="00AF475A" w:rsidP="00A01827">
      <w:pPr>
        <w:pStyle w:val="Heading1"/>
      </w:pPr>
      <w:r w:rsidRPr="00A01827">
        <w:t xml:space="preserve">Informed consent </w:t>
      </w:r>
      <w:r w:rsidR="00A01827">
        <w:t xml:space="preserve">resource </w:t>
      </w:r>
      <w:r w:rsidRPr="00A01827">
        <w:t>for myopia</w:t>
      </w:r>
      <w:r w:rsidR="007B39D1" w:rsidRPr="00A01827">
        <w:t xml:space="preserve"> management </w:t>
      </w:r>
    </w:p>
    <w:p w14:paraId="0D528E95" w14:textId="7D3D1A20" w:rsidR="00AF475A" w:rsidRPr="00A01827" w:rsidRDefault="00AF475A" w:rsidP="00AF475A">
      <w:pPr>
        <w:pStyle w:val="Heading2"/>
        <w:rPr>
          <w:sz w:val="28"/>
          <w:szCs w:val="28"/>
        </w:rPr>
      </w:pPr>
      <w:r w:rsidRPr="00A01827">
        <w:rPr>
          <w:sz w:val="28"/>
          <w:szCs w:val="28"/>
        </w:rPr>
        <w:t>What is myopia</w:t>
      </w:r>
      <w:r w:rsidR="00E76BEB" w:rsidRPr="00A01827">
        <w:rPr>
          <w:sz w:val="28"/>
          <w:szCs w:val="28"/>
        </w:rPr>
        <w:t>?</w:t>
      </w:r>
    </w:p>
    <w:p w14:paraId="46D7B4C5" w14:textId="38096BA3" w:rsidR="00AF475A" w:rsidRDefault="00AF475A" w:rsidP="00AF475A">
      <w:r>
        <w:t xml:space="preserve">Myopia is blurry long-distance vision, often called </w:t>
      </w:r>
      <w:r w:rsidR="00465224">
        <w:t>‘</w:t>
      </w:r>
      <w:r>
        <w:t>short-sighted</w:t>
      </w:r>
      <w:r w:rsidR="00574C52">
        <w:t>ness</w:t>
      </w:r>
      <w:r w:rsidR="00465224">
        <w:t>’</w:t>
      </w:r>
      <w:r>
        <w:t xml:space="preserve"> or </w:t>
      </w:r>
      <w:r w:rsidR="00465224">
        <w:t>‘</w:t>
      </w:r>
      <w:r>
        <w:t>near-sighted</w:t>
      </w:r>
      <w:r w:rsidR="00574C52">
        <w:t>ness</w:t>
      </w:r>
      <w:r w:rsidR="00465224">
        <w:t>’</w:t>
      </w:r>
      <w:r>
        <w:t>. A person with myopia can</w:t>
      </w:r>
      <w:r w:rsidR="00574C52">
        <w:t xml:space="preserve"> typically</w:t>
      </w:r>
      <w:r>
        <w:t xml:space="preserve"> see clearly up close – when reading a book or looking at a</w:t>
      </w:r>
      <w:r w:rsidR="003445C5">
        <w:t xml:space="preserve"> laptop screen</w:t>
      </w:r>
      <w:r>
        <w:t xml:space="preserve"> – but words and objects look fuzzy on a </w:t>
      </w:r>
      <w:r w:rsidR="003445C5">
        <w:t>whiteboard</w:t>
      </w:r>
      <w:r>
        <w:t>, on television</w:t>
      </w:r>
      <w:r w:rsidR="003445C5">
        <w:t>, across the room,</w:t>
      </w:r>
      <w:r>
        <w:t xml:space="preserve"> </w:t>
      </w:r>
      <w:r w:rsidR="003445C5">
        <w:t xml:space="preserve">when </w:t>
      </w:r>
      <w:r w:rsidR="00574C52">
        <w:t xml:space="preserve">looking outdoors </w:t>
      </w:r>
      <w:r w:rsidR="003445C5">
        <w:t>or when driving.</w:t>
      </w:r>
      <w:r>
        <w:t xml:space="preserve"> </w:t>
      </w:r>
    </w:p>
    <w:p w14:paraId="35495E1D" w14:textId="5AAC4EC8" w:rsidR="00AF475A" w:rsidRDefault="00AF475A" w:rsidP="00AF475A"/>
    <w:p w14:paraId="1F573D1A" w14:textId="46210EAF" w:rsidR="00AF475A" w:rsidRPr="00A01827" w:rsidRDefault="00AF475A" w:rsidP="00AF475A">
      <w:pPr>
        <w:pStyle w:val="Heading2"/>
        <w:rPr>
          <w:sz w:val="28"/>
          <w:szCs w:val="28"/>
        </w:rPr>
      </w:pPr>
      <w:r w:rsidRPr="00A01827">
        <w:rPr>
          <w:sz w:val="28"/>
          <w:szCs w:val="28"/>
        </w:rPr>
        <w:t>Why is myopia a concern</w:t>
      </w:r>
      <w:r w:rsidR="00E76BEB" w:rsidRPr="00A01827">
        <w:rPr>
          <w:sz w:val="28"/>
          <w:szCs w:val="28"/>
        </w:rPr>
        <w:t>?</w:t>
      </w:r>
    </w:p>
    <w:p w14:paraId="322E3350" w14:textId="47B65AEA" w:rsidR="00AF475A" w:rsidRDefault="00574C52" w:rsidP="00AF475A">
      <w:r>
        <w:t xml:space="preserve">The rate of myopia is growing across the world, increasing </w:t>
      </w:r>
      <w:r w:rsidR="00AF475A">
        <w:t xml:space="preserve">from 22% of the </w:t>
      </w:r>
      <w:r>
        <w:t xml:space="preserve">world’s </w:t>
      </w:r>
      <w:r w:rsidR="00AF475A">
        <w:t>population in 2000 to 33% in 2020</w:t>
      </w:r>
      <w:r>
        <w:t xml:space="preserve"> – half of the world’s population expected to be myopic by 2050</w:t>
      </w:r>
      <w:r w:rsidR="00AF475A">
        <w:t>.</w:t>
      </w:r>
      <w:r w:rsidR="00AF475A">
        <w:fldChar w:fldCharType="begin"/>
      </w:r>
      <w:r w:rsidR="00AF475A">
        <w:instrText xml:space="preserve"> ADDIN EN.CITE &lt;EndNote&gt;&lt;Cite&gt;&lt;Author&gt;WHO&lt;/Author&gt;&lt;Year&gt;2015&lt;/Year&gt;&lt;RecNum&gt;430&lt;/RecNum&gt;&lt;DisplayText&gt;&lt;style face="superscript"&gt;1&lt;/style&gt;&lt;/DisplayText&gt;&lt;record&gt;&lt;rec-number&gt;430&lt;/rec-number&gt;&lt;foreign-keys&gt;&lt;key app="EN" db-id="vx5w9pfpfxz5atedwpxpsf9c9tdesa29dxfv" timestamp="1588573525"&gt;430&lt;/key&gt;&lt;/foreign-keys&gt;&lt;ref-type name="Standard"&gt;58&lt;/ref-type&gt;&lt;contributors&gt;&lt;authors&gt;&lt;author&gt;WHO &lt;/author&gt;&lt;/authors&gt;&lt;/contributors&gt;&lt;titles&gt;&lt;title&gt;The Impact of Myopia and High Myopia&lt;/title&gt;&lt;/titles&gt;&lt;dates&gt;&lt;year&gt;2015&lt;/year&gt;&lt;/dates&gt;&lt;pub-location&gt;Sydney, Australia&lt;/pub-location&gt;&lt;publisher&gt;World Health Organisation with the University of New South Wales&lt;/publisher&gt;&lt;urls&gt;&lt;related-urls&gt;&lt;url&gt;https://www.who.int/blindness/causes/MyopiaReportforWeb.pdf&lt;/url&gt;&lt;/related-urls&gt;&lt;/urls&gt;&lt;/record&gt;&lt;/Cite&gt;&lt;/EndNote&gt;</w:instrText>
      </w:r>
      <w:r w:rsidR="00AF475A">
        <w:fldChar w:fldCharType="separate"/>
      </w:r>
      <w:r w:rsidR="00AF475A" w:rsidRPr="00AE330C">
        <w:rPr>
          <w:noProof/>
          <w:vertAlign w:val="superscript"/>
        </w:rPr>
        <w:t>1</w:t>
      </w:r>
      <w:r w:rsidR="00AF475A">
        <w:fldChar w:fldCharType="end"/>
      </w:r>
      <w:r w:rsidR="00AF475A">
        <w:t xml:space="preserve"> </w:t>
      </w:r>
      <w:r w:rsidR="00E76BEB">
        <w:t xml:space="preserve">Most myopia is caused by </w:t>
      </w:r>
      <w:r w:rsidR="003445C5">
        <w:t xml:space="preserve">the eye length </w:t>
      </w:r>
      <w:r w:rsidR="00E76BEB">
        <w:t xml:space="preserve">growing too quickly </w:t>
      </w:r>
      <w:r w:rsidR="003445C5">
        <w:t>in childhood</w:t>
      </w:r>
      <w:r w:rsidR="00E76BEB">
        <w:t>.</w:t>
      </w:r>
      <w:r w:rsidR="003445C5">
        <w:t xml:space="preserve"> The eye</w:t>
      </w:r>
      <w:r w:rsidR="00465224">
        <w:t>s are</w:t>
      </w:r>
      <w:r w:rsidR="003445C5">
        <w:t xml:space="preserve"> meant to grow from birth until the early teens and then cease, but in myopia the eye</w:t>
      </w:r>
      <w:r w:rsidR="00465224">
        <w:t xml:space="preserve">s grow too much and/or continue growing into the teenage years. </w:t>
      </w:r>
      <w:r w:rsidR="007B39D1">
        <w:t xml:space="preserve">Once a child becomes myopic, their vision typically deteriorates every 6-12 months, requiring a </w:t>
      </w:r>
      <w:proofErr w:type="gramStart"/>
      <w:r w:rsidR="007B39D1">
        <w:t>stronger and stronger</w:t>
      </w:r>
      <w:proofErr w:type="gramEnd"/>
      <w:r w:rsidR="007B39D1">
        <w:t xml:space="preserve"> prescription. Most myopic children tend to stabilize by the late teens and early 20’s.</w:t>
      </w:r>
      <w:r w:rsidR="007B39D1" w:rsidRPr="007B39D1">
        <w:rPr>
          <w:vertAlign w:val="superscript"/>
        </w:rPr>
        <w:t>2</w:t>
      </w:r>
      <w:r w:rsidR="007B39D1">
        <w:rPr>
          <w:vertAlign w:val="superscript"/>
        </w:rPr>
        <w:t xml:space="preserve"> </w:t>
      </w:r>
      <w:r w:rsidR="00E76BEB">
        <w:t>E</w:t>
      </w:r>
      <w:r w:rsidR="00465224">
        <w:t>xcessive e</w:t>
      </w:r>
      <w:r w:rsidR="00E76BEB">
        <w:t xml:space="preserve">ye growth raises concern because even small amounts of stretching can lead to increased likelihood of </w:t>
      </w:r>
      <w:r w:rsidR="00465224">
        <w:t>vision</w:t>
      </w:r>
      <w:r w:rsidR="00E76BEB">
        <w:t xml:space="preserve"> threatening eye diseases in later life, </w:t>
      </w:r>
      <w:r w:rsidR="00465224">
        <w:t>such as</w:t>
      </w:r>
      <w:r w:rsidR="00200B06">
        <w:t xml:space="preserve"> myopic</w:t>
      </w:r>
      <w:r w:rsidR="00465224">
        <w:t xml:space="preserve"> </w:t>
      </w:r>
      <w:r w:rsidR="00E76BEB">
        <w:t>macular degeneration, retinal detachment, and cataract.</w:t>
      </w:r>
      <w:r w:rsidR="007B39D1">
        <w:rPr>
          <w:vertAlign w:val="superscript"/>
        </w:rPr>
        <w:t>3,4</w:t>
      </w:r>
    </w:p>
    <w:p w14:paraId="19729C57" w14:textId="5CE4664F" w:rsidR="00E76BEB" w:rsidRDefault="00E76BEB" w:rsidP="00AF475A"/>
    <w:p w14:paraId="4135C116" w14:textId="08CC1B36" w:rsidR="00E76BEB" w:rsidRPr="00A01827" w:rsidRDefault="00E76BEB" w:rsidP="00E76BEB">
      <w:pPr>
        <w:pStyle w:val="Heading2"/>
        <w:rPr>
          <w:sz w:val="28"/>
          <w:szCs w:val="28"/>
        </w:rPr>
      </w:pPr>
      <w:r w:rsidRPr="00A01827">
        <w:rPr>
          <w:sz w:val="28"/>
          <w:szCs w:val="28"/>
        </w:rPr>
        <w:t>Why manage myopia in children?</w:t>
      </w:r>
    </w:p>
    <w:p w14:paraId="7A8B2240" w14:textId="697CA261" w:rsidR="00465224" w:rsidRDefault="00465224" w:rsidP="00AF475A">
      <w:pPr>
        <w:rPr>
          <w:vertAlign w:val="superscript"/>
        </w:rPr>
      </w:pPr>
      <w:r>
        <w:t>Myopia progresses fastest in younger children, especially those under age 10.</w:t>
      </w:r>
      <w:r w:rsidR="007B39D1">
        <w:rPr>
          <w:vertAlign w:val="superscript"/>
        </w:rPr>
        <w:t>5</w:t>
      </w:r>
      <w:r>
        <w:t xml:space="preserve"> This means that the most important opportunity to slow eye growth is when children are younger. Myopia management aims to apply specific treatments to slow the excessive eye growth to a lesser rate. Experts agree that myopia management should be commenced for all children under age 12,</w:t>
      </w:r>
      <w:r w:rsidR="007B39D1">
        <w:rPr>
          <w:vertAlign w:val="superscript"/>
        </w:rPr>
        <w:t>6</w:t>
      </w:r>
      <w:r>
        <w:t xml:space="preserve"> and </w:t>
      </w:r>
      <w:r w:rsidR="00200B06">
        <w:t>typically continue into the late teens.</w:t>
      </w:r>
      <w:r w:rsidR="007B39D1">
        <w:rPr>
          <w:vertAlign w:val="superscript"/>
        </w:rPr>
        <w:t>7</w:t>
      </w:r>
    </w:p>
    <w:p w14:paraId="41C39ADB" w14:textId="1ADF5220" w:rsidR="00200B06" w:rsidRDefault="00200B06" w:rsidP="00AF475A"/>
    <w:p w14:paraId="045E6667" w14:textId="48757017" w:rsidR="00200B06" w:rsidRPr="00200B06" w:rsidRDefault="00200B06" w:rsidP="00AF475A">
      <w:r w:rsidRPr="00B85BD7">
        <w:rPr>
          <w:b/>
          <w:bCs/>
        </w:rPr>
        <w:t xml:space="preserve">The short-term benefit </w:t>
      </w:r>
      <w:r w:rsidRPr="00B85BD7">
        <w:t>of slowing myopia progression</w:t>
      </w:r>
      <w:r>
        <w:t xml:space="preserve"> is that a child’s prescription will change less quickly, giving them clearer vision for longer between eye examinations. </w:t>
      </w:r>
      <w:r w:rsidRPr="00B85BD7">
        <w:rPr>
          <w:b/>
          <w:bCs/>
        </w:rPr>
        <w:t>The long-term benefit</w:t>
      </w:r>
      <w:r>
        <w:t xml:space="preserve"> is reducing the lifetime risk of eye disease and vision impairment. This risk increases as myopia does</w:t>
      </w:r>
      <w:r w:rsidR="007B39D1">
        <w:rPr>
          <w:vertAlign w:val="superscript"/>
        </w:rPr>
        <w:t>3</w:t>
      </w:r>
      <w:r>
        <w:rPr>
          <w:vertAlign w:val="superscript"/>
        </w:rPr>
        <w:t xml:space="preserve"> </w:t>
      </w:r>
      <w:r>
        <w:t xml:space="preserve">with the good news being that reducing the final level of myopia by only 1 dioptre reduces the lifetime risk of myopic macular </w:t>
      </w:r>
      <w:r w:rsidR="000478AF">
        <w:t>degeneration</w:t>
      </w:r>
      <w:r>
        <w:t xml:space="preserve"> by 40% and the risk of vision impairment by 20%.</w:t>
      </w:r>
      <w:r w:rsidR="007B39D1">
        <w:rPr>
          <w:vertAlign w:val="superscript"/>
        </w:rPr>
        <w:t>8</w:t>
      </w:r>
      <w:r>
        <w:t xml:space="preserve"> </w:t>
      </w:r>
    </w:p>
    <w:p w14:paraId="5C3ECB0C" w14:textId="77777777" w:rsidR="00AF475A" w:rsidRDefault="00AF475A" w:rsidP="00AF475A"/>
    <w:p w14:paraId="2ABDD977" w14:textId="5FD2E673" w:rsidR="00FA5DF1" w:rsidRPr="00A01827" w:rsidRDefault="00A01827" w:rsidP="00FA5DF1">
      <w:pPr>
        <w:pStyle w:val="Heading2"/>
        <w:rPr>
          <w:sz w:val="28"/>
          <w:szCs w:val="28"/>
        </w:rPr>
      </w:pPr>
      <w:r>
        <w:rPr>
          <w:sz w:val="28"/>
          <w:szCs w:val="28"/>
        </w:rPr>
        <w:lastRenderedPageBreak/>
        <w:t>T</w:t>
      </w:r>
      <w:r w:rsidR="00FA5DF1" w:rsidRPr="00A01827">
        <w:rPr>
          <w:sz w:val="28"/>
          <w:szCs w:val="28"/>
        </w:rPr>
        <w:t>reatments for slowing myopia progression</w:t>
      </w:r>
    </w:p>
    <w:p w14:paraId="30A0A847" w14:textId="55637299" w:rsidR="00465224" w:rsidRDefault="00465224" w:rsidP="00AF475A">
      <w:pPr>
        <w:rPr>
          <w:vertAlign w:val="superscript"/>
        </w:rPr>
      </w:pPr>
      <w:r w:rsidRPr="00B85BD7">
        <w:rPr>
          <w:b/>
          <w:bCs/>
        </w:rPr>
        <w:t>Standard, single-focus long distance spectacles or contact lenses</w:t>
      </w:r>
      <w:r w:rsidR="007B39D1" w:rsidRPr="00B85BD7">
        <w:rPr>
          <w:b/>
          <w:bCs/>
        </w:rPr>
        <w:t xml:space="preserve"> do not slow down the progression of childhood myopia</w:t>
      </w:r>
      <w:r w:rsidR="007B39D1">
        <w:t>.</w:t>
      </w:r>
      <w:r w:rsidR="007B39D1" w:rsidRPr="007B39D1">
        <w:rPr>
          <w:vertAlign w:val="superscript"/>
        </w:rPr>
        <w:t>8</w:t>
      </w:r>
      <w:r w:rsidR="007B39D1">
        <w:rPr>
          <w:vertAlign w:val="superscript"/>
        </w:rPr>
        <w:t xml:space="preserve"> </w:t>
      </w:r>
      <w:r w:rsidR="007B39D1">
        <w:t>Instead, specific types of spectacles, contact lenses and eye drops called atropine have been proven to slow myopia progression in children.</w:t>
      </w:r>
      <w:r w:rsidR="007B39D1" w:rsidRPr="007B39D1">
        <w:rPr>
          <w:vertAlign w:val="superscript"/>
        </w:rPr>
        <w:t>6</w:t>
      </w:r>
    </w:p>
    <w:p w14:paraId="633042F4" w14:textId="3C7FE228" w:rsidR="007B39D1" w:rsidRDefault="007B39D1" w:rsidP="00AF475A"/>
    <w:p w14:paraId="1113F838" w14:textId="25AF2ECB" w:rsidR="007B39D1" w:rsidRPr="00B85BD7" w:rsidRDefault="007B39D1" w:rsidP="00AF475A">
      <w:pPr>
        <w:rPr>
          <w:b/>
          <w:bCs/>
        </w:rPr>
      </w:pPr>
      <w:r w:rsidRPr="00B85BD7">
        <w:t>The best option for your child will depend on their current prescription and othe</w:t>
      </w:r>
      <w:r w:rsidR="00775BD1" w:rsidRPr="00B85BD7">
        <w:t>r vision and eye health f</w:t>
      </w:r>
      <w:r w:rsidRPr="00B85BD7">
        <w:t xml:space="preserve">actors determined in their eye examination. </w:t>
      </w:r>
      <w:r w:rsidR="00775BD1" w:rsidRPr="00B85BD7">
        <w:t>Your eye care practitioner will discuss the options with you</w:t>
      </w:r>
      <w:r w:rsidR="003E2A41" w:rsidRPr="00B85BD7">
        <w:t xml:space="preserve"> to determine the best option. Treatment options vary across the world due to availability, supply and regulatory reasons.</w:t>
      </w:r>
      <w:r w:rsidR="0086646B" w:rsidRPr="00B85BD7">
        <w:t xml:space="preserve"> </w:t>
      </w:r>
      <w:r w:rsidR="0086646B" w:rsidRPr="00B85BD7">
        <w:rPr>
          <w:b/>
          <w:bCs/>
        </w:rPr>
        <w:t>It is important to note that no treatment can promise the ability to stop myopia progression in children, only to slow it down.</w:t>
      </w:r>
    </w:p>
    <w:p w14:paraId="419A3B5D" w14:textId="54E4430A" w:rsidR="003E2A41" w:rsidRDefault="003E2A41" w:rsidP="00AF475A"/>
    <w:p w14:paraId="53ECB1D2" w14:textId="5F1097F4" w:rsidR="003E2A41" w:rsidRPr="00A01827" w:rsidRDefault="003E2A41" w:rsidP="0086646B">
      <w:pPr>
        <w:pStyle w:val="Heading3"/>
        <w:rPr>
          <w:color w:val="2F5496" w:themeColor="accent1" w:themeShade="BF"/>
          <w:sz w:val="28"/>
          <w:szCs w:val="28"/>
        </w:rPr>
      </w:pPr>
      <w:r w:rsidRPr="00A01827">
        <w:rPr>
          <w:color w:val="2F5496" w:themeColor="accent1" w:themeShade="BF"/>
          <w:sz w:val="28"/>
          <w:szCs w:val="28"/>
        </w:rPr>
        <w:t>Spectacles</w:t>
      </w:r>
    </w:p>
    <w:p w14:paraId="1AA25B10" w14:textId="2C18D3E2" w:rsidR="003E2A41" w:rsidRDefault="0086646B" w:rsidP="0086646B">
      <w:r>
        <w:t xml:space="preserve">Standard single-focus spectacles </w:t>
      </w:r>
      <w:r w:rsidRPr="00B85BD7">
        <w:rPr>
          <w:u w:val="single"/>
        </w:rPr>
        <w:t>do not</w:t>
      </w:r>
      <w:r>
        <w:t xml:space="preserve"> slow the worsening of childhood myopia but specific designs do. Myopia controlling spectacles can both correct the blurred vision of myopia and work to slow down myopia progression. They are safe to wear and adaptation is typically easy</w:t>
      </w:r>
      <w:r w:rsidR="000D72A2">
        <w:t>, with the only side effects being related to the limitations spectacles pose for sport and active lifestyles.</w:t>
      </w:r>
    </w:p>
    <w:p w14:paraId="5F26BCEF" w14:textId="77777777" w:rsidR="0086646B" w:rsidRPr="0086646B" w:rsidRDefault="0086646B" w:rsidP="0086646B"/>
    <w:p w14:paraId="6B4901C8" w14:textId="64107F96" w:rsidR="003E2A41" w:rsidRPr="00A01827" w:rsidRDefault="003E2A41" w:rsidP="0086646B">
      <w:pPr>
        <w:pStyle w:val="Heading3"/>
        <w:rPr>
          <w:color w:val="2F5496" w:themeColor="accent1" w:themeShade="BF"/>
          <w:sz w:val="28"/>
          <w:szCs w:val="28"/>
        </w:rPr>
      </w:pPr>
      <w:r w:rsidRPr="00A01827">
        <w:rPr>
          <w:color w:val="2F5496" w:themeColor="accent1" w:themeShade="BF"/>
          <w:sz w:val="28"/>
          <w:szCs w:val="28"/>
        </w:rPr>
        <w:t>Contact lenses</w:t>
      </w:r>
    </w:p>
    <w:p w14:paraId="67FB9527" w14:textId="09B3FAAC" w:rsidR="003E2A41" w:rsidRDefault="0086646B" w:rsidP="0086646B">
      <w:r>
        <w:t xml:space="preserve">Standard single-focus contact lenses </w:t>
      </w:r>
      <w:r w:rsidRPr="00B85BD7">
        <w:rPr>
          <w:u w:val="single"/>
        </w:rPr>
        <w:t>do not</w:t>
      </w:r>
      <w:r>
        <w:t xml:space="preserve"> slow the worsening of childhood myopia but specific designs do. </w:t>
      </w:r>
      <w:r w:rsidR="000D72A2">
        <w:t xml:space="preserve">These specific designs can both correct the blurred vision of myopia and work to slow down myopia progression. </w:t>
      </w:r>
      <w:r>
        <w:t>The options include soft myopia controlling contact lenses and orthokeratology.</w:t>
      </w:r>
    </w:p>
    <w:p w14:paraId="2AD99A4D" w14:textId="79013DFB" w:rsidR="0086646B" w:rsidRDefault="0086646B" w:rsidP="0086646B"/>
    <w:p w14:paraId="2C031866" w14:textId="6FAA613A" w:rsidR="0086646B" w:rsidRPr="009E4129" w:rsidRDefault="00947166" w:rsidP="0086646B">
      <w:r w:rsidRPr="00A01827">
        <w:rPr>
          <w:u w:val="single"/>
        </w:rPr>
        <w:t>Risks and safety</w:t>
      </w:r>
      <w:r>
        <w:t xml:space="preserve"> </w:t>
      </w:r>
      <w:r>
        <w:br/>
      </w:r>
      <w:r w:rsidR="0086646B">
        <w:t>Contact lens wear increases the risk of eye infection compared to wearing spectacles, with the risks being:</w:t>
      </w:r>
      <w:r w:rsidR="0086646B" w:rsidRPr="009E4129">
        <w:t xml:space="preserve"> </w:t>
      </w:r>
    </w:p>
    <w:p w14:paraId="0DCBCDDC" w14:textId="087B169B" w:rsidR="0086646B" w:rsidRPr="009E4129" w:rsidRDefault="0086646B" w:rsidP="0086646B">
      <w:pPr>
        <w:pStyle w:val="ListParagraph"/>
        <w:numPr>
          <w:ilvl w:val="1"/>
          <w:numId w:val="14"/>
        </w:numPr>
        <w:spacing w:line="240" w:lineRule="auto"/>
        <w:ind w:left="709" w:hanging="283"/>
      </w:pPr>
      <w:r w:rsidRPr="009E4129">
        <w:t>1 per 1,000 wearers per year for reusable soft contact lenses or overnight orthokeratology lenses</w:t>
      </w:r>
      <w:r>
        <w:rPr>
          <w:vertAlign w:val="superscript"/>
        </w:rPr>
        <w:t>9,10</w:t>
      </w:r>
    </w:p>
    <w:p w14:paraId="5EA52B5D" w14:textId="5C03ED1A" w:rsidR="0086646B" w:rsidRPr="009E4129" w:rsidRDefault="0086646B" w:rsidP="0086646B">
      <w:pPr>
        <w:pStyle w:val="ListParagraph"/>
        <w:numPr>
          <w:ilvl w:val="1"/>
          <w:numId w:val="14"/>
        </w:numPr>
        <w:spacing w:line="240" w:lineRule="auto"/>
        <w:ind w:left="709" w:hanging="283"/>
      </w:pPr>
      <w:r w:rsidRPr="009E4129">
        <w:t>1 per 5,000 wearers per year for daily disposable soft contact lenses</w:t>
      </w:r>
      <w:r>
        <w:rPr>
          <w:vertAlign w:val="superscript"/>
        </w:rPr>
        <w:t>9</w:t>
      </w:r>
    </w:p>
    <w:p w14:paraId="3AB4252E" w14:textId="0564E814" w:rsidR="0086646B" w:rsidRDefault="0086646B" w:rsidP="0086646B"/>
    <w:p w14:paraId="4282D652" w14:textId="4D92F1F7" w:rsidR="000D72A2" w:rsidRDefault="0086646B" w:rsidP="0086646B">
      <w:r>
        <w:t>With proper hygiene and maintenance procedures, this risk can be well managed</w:t>
      </w:r>
      <w:r w:rsidR="00DA2CF1">
        <w:t xml:space="preserve"> – especially</w:t>
      </w:r>
      <w:r w:rsidR="00947166">
        <w:t xml:space="preserve"> by</w:t>
      </w:r>
      <w:r w:rsidR="00DA2CF1">
        <w:t xml:space="preserve"> avoiding any contact of water with contact lenses or accessories.</w:t>
      </w:r>
      <w:r w:rsidR="00DA2CF1" w:rsidRPr="00DA2CF1">
        <w:rPr>
          <w:vertAlign w:val="superscript"/>
        </w:rPr>
        <w:t>1</w:t>
      </w:r>
      <w:r w:rsidR="00DA2CF1">
        <w:rPr>
          <w:vertAlign w:val="superscript"/>
        </w:rPr>
        <w:t>1</w:t>
      </w:r>
      <w:r w:rsidR="00DA2CF1">
        <w:t xml:space="preserve"> </w:t>
      </w:r>
      <w:r w:rsidR="000D72A2">
        <w:t>Other side effects</w:t>
      </w:r>
      <w:r w:rsidR="00AE06BE">
        <w:t xml:space="preserve"> of contact lenses to control myopia can be temporary adaptation to the different experience of vision, which typically resolves in 1-2 weeks.</w:t>
      </w:r>
    </w:p>
    <w:p w14:paraId="7FB5E458" w14:textId="77777777" w:rsidR="00947166" w:rsidRDefault="00947166" w:rsidP="0086646B">
      <w:pPr>
        <w:rPr>
          <w:b/>
          <w:bCs/>
        </w:rPr>
      </w:pPr>
    </w:p>
    <w:p w14:paraId="02A8A1CA" w14:textId="77777777" w:rsidR="000478AF" w:rsidRDefault="000478AF" w:rsidP="0086646B">
      <w:pPr>
        <w:rPr>
          <w:b/>
          <w:bCs/>
        </w:rPr>
      </w:pPr>
    </w:p>
    <w:p w14:paraId="0E75CF41" w14:textId="77777777" w:rsidR="000478AF" w:rsidRDefault="000478AF" w:rsidP="0086646B">
      <w:pPr>
        <w:rPr>
          <w:b/>
          <w:bCs/>
        </w:rPr>
      </w:pPr>
    </w:p>
    <w:p w14:paraId="0EED99E6" w14:textId="77777777" w:rsidR="000478AF" w:rsidRDefault="000478AF" w:rsidP="0086646B">
      <w:pPr>
        <w:rPr>
          <w:b/>
          <w:bCs/>
        </w:rPr>
      </w:pPr>
    </w:p>
    <w:p w14:paraId="44D8674B" w14:textId="77777777" w:rsidR="000478AF" w:rsidRDefault="000478AF" w:rsidP="0086646B">
      <w:pPr>
        <w:rPr>
          <w:b/>
          <w:bCs/>
        </w:rPr>
      </w:pPr>
    </w:p>
    <w:p w14:paraId="3295A780" w14:textId="77777777" w:rsidR="000478AF" w:rsidRDefault="000478AF" w:rsidP="0086646B">
      <w:pPr>
        <w:rPr>
          <w:b/>
          <w:bCs/>
        </w:rPr>
      </w:pPr>
    </w:p>
    <w:p w14:paraId="01311F61" w14:textId="77777777" w:rsidR="000478AF" w:rsidRPr="00947166" w:rsidRDefault="000478AF" w:rsidP="0086646B">
      <w:pPr>
        <w:rPr>
          <w:b/>
          <w:bCs/>
        </w:rPr>
      </w:pPr>
    </w:p>
    <w:p w14:paraId="50B60FB4" w14:textId="77777777" w:rsidR="00947166" w:rsidRPr="00A01827" w:rsidRDefault="00947166" w:rsidP="0086646B">
      <w:pPr>
        <w:rPr>
          <w:u w:val="single"/>
        </w:rPr>
      </w:pPr>
      <w:r w:rsidRPr="00A01827">
        <w:rPr>
          <w:u w:val="single"/>
        </w:rPr>
        <w:lastRenderedPageBreak/>
        <w:t>Benefits</w:t>
      </w:r>
    </w:p>
    <w:p w14:paraId="0B27F187" w14:textId="47F9AEDC" w:rsidR="0086646B" w:rsidRDefault="0086646B" w:rsidP="0086646B">
      <w:r>
        <w:t>There are many benefits to children wearing contact lenses:</w:t>
      </w:r>
    </w:p>
    <w:p w14:paraId="7D4160B7" w14:textId="2A6AA2D0" w:rsidR="0086646B" w:rsidRPr="009E4129" w:rsidRDefault="0086646B" w:rsidP="0086646B">
      <w:pPr>
        <w:pStyle w:val="ListParagraph"/>
        <w:numPr>
          <w:ilvl w:val="0"/>
          <w:numId w:val="15"/>
        </w:numPr>
        <w:spacing w:line="240" w:lineRule="auto"/>
        <w:ind w:hanging="294"/>
      </w:pPr>
      <w:r w:rsidRPr="009E4129">
        <w:t>Wearing contact lenses improves children’s self confidence in school and sport, and their satisfaction with their vision – as much as it does for teens</w:t>
      </w:r>
      <w:r w:rsidRPr="009E4129">
        <w:rPr>
          <w:vertAlign w:val="superscript"/>
        </w:rPr>
        <w:t>1</w:t>
      </w:r>
      <w:r w:rsidR="00DA2CF1">
        <w:rPr>
          <w:vertAlign w:val="superscript"/>
        </w:rPr>
        <w:t>2</w:t>
      </w:r>
    </w:p>
    <w:p w14:paraId="50283C7F" w14:textId="662032A1" w:rsidR="0086646B" w:rsidRPr="009E4129" w:rsidRDefault="0086646B" w:rsidP="0086646B">
      <w:pPr>
        <w:pStyle w:val="ListParagraph"/>
        <w:numPr>
          <w:ilvl w:val="0"/>
          <w:numId w:val="15"/>
        </w:numPr>
        <w:spacing w:line="240" w:lineRule="auto"/>
        <w:ind w:hanging="294"/>
      </w:pPr>
      <w:r w:rsidRPr="009E4129">
        <w:t>Children aged 8-12 years appear to be safer contact lens wearers than teens and adults, with a lower risk of eye infection</w:t>
      </w:r>
      <w:r>
        <w:rPr>
          <w:vertAlign w:val="superscript"/>
        </w:rPr>
        <w:t>1</w:t>
      </w:r>
      <w:r w:rsidR="00DA2CF1">
        <w:rPr>
          <w:vertAlign w:val="superscript"/>
        </w:rPr>
        <w:t>3</w:t>
      </w:r>
    </w:p>
    <w:p w14:paraId="20EE9E73" w14:textId="38930825" w:rsidR="0086646B" w:rsidRPr="0086646B" w:rsidRDefault="0086646B" w:rsidP="0086646B">
      <w:pPr>
        <w:pStyle w:val="ListParagraph"/>
        <w:numPr>
          <w:ilvl w:val="0"/>
          <w:numId w:val="15"/>
        </w:numPr>
        <w:spacing w:line="240" w:lineRule="auto"/>
        <w:ind w:hanging="294"/>
      </w:pPr>
      <w:r w:rsidRPr="009E4129">
        <w:t>Children only take 15 minutes more to learn how to handle contact lenses than teens</w:t>
      </w:r>
      <w:r>
        <w:rPr>
          <w:vertAlign w:val="superscript"/>
        </w:rPr>
        <w:t>1</w:t>
      </w:r>
      <w:r w:rsidR="00DA2CF1">
        <w:rPr>
          <w:vertAlign w:val="superscript"/>
        </w:rPr>
        <w:t>4</w:t>
      </w:r>
    </w:p>
    <w:p w14:paraId="5FA42CCD" w14:textId="2A329D9E" w:rsidR="0086646B" w:rsidRDefault="0086646B" w:rsidP="0086646B"/>
    <w:p w14:paraId="567F93A8" w14:textId="6A7FA03B" w:rsidR="00947166" w:rsidRDefault="00DA2CF1" w:rsidP="0086646B">
      <w:r w:rsidRPr="00A01827">
        <w:rPr>
          <w:u w:val="single"/>
        </w:rPr>
        <w:t>Orthokeratology contact lenses</w:t>
      </w:r>
      <w:r>
        <w:t xml:space="preserve"> are worn overnight and removed upon waking, such that no spectacles or contact lenses are required for clear vision during the day. </w:t>
      </w:r>
      <w:r w:rsidR="00947166">
        <w:t>They can require more appointments for fitting than other types of myopia control treatment. Adaptation to the lens-on-eye feeling can take 1-2 weeks but shouldn’t affect sleep.</w:t>
      </w:r>
      <w:r w:rsidR="00947166" w:rsidRPr="00947166">
        <w:rPr>
          <w:vertAlign w:val="superscript"/>
        </w:rPr>
        <w:t>17</w:t>
      </w:r>
      <w:r w:rsidR="00947166">
        <w:t xml:space="preserve"> </w:t>
      </w:r>
      <w:r>
        <w:t xml:space="preserve">There are significant benefits for </w:t>
      </w:r>
      <w:r w:rsidR="00947166">
        <w:t>water sports and active lifestyles, and since the contact lenses are only worn at home there is low risk of them being lost or broken during wear.</w:t>
      </w:r>
    </w:p>
    <w:p w14:paraId="6AC989E2" w14:textId="50BB99A3" w:rsidR="00947166" w:rsidRDefault="00947166" w:rsidP="0086646B"/>
    <w:p w14:paraId="4801E9D7" w14:textId="4016630F" w:rsidR="00947166" w:rsidRDefault="00947166" w:rsidP="0086646B">
      <w:r w:rsidRPr="00A01827">
        <w:rPr>
          <w:u w:val="single"/>
        </w:rPr>
        <w:t>Soft myopia controlling contact lenses</w:t>
      </w:r>
      <w:r>
        <w:t xml:space="preserve"> are worn during waking hours.</w:t>
      </w:r>
      <w:r w:rsidR="00F04A16">
        <w:t xml:space="preserve"> They may be daily disposable, or reusable for up to a month.</w:t>
      </w:r>
      <w:r>
        <w:t xml:space="preserve"> They typically require more appointments for fitting than spectacles but less than orthokeratology. Adaptation to the lens-on-eye feeling </w:t>
      </w:r>
      <w:r w:rsidR="00F04A16">
        <w:t>typically occurs in a few days</w:t>
      </w:r>
      <w:r>
        <w:t xml:space="preserve">. There are benefits in safety with daily disposables being the safest modality, </w:t>
      </w:r>
      <w:r w:rsidR="00F04A16">
        <w:t>and the number of lenses retained meaning loss or breakage is less of a practical issue.</w:t>
      </w:r>
    </w:p>
    <w:p w14:paraId="24CFCC9C" w14:textId="77777777" w:rsidR="00DA2CF1" w:rsidRPr="0086646B" w:rsidRDefault="00DA2CF1" w:rsidP="0086646B"/>
    <w:p w14:paraId="4442A019" w14:textId="593A752D" w:rsidR="003E2A41" w:rsidRPr="00A01827" w:rsidRDefault="003E2A41" w:rsidP="0086646B">
      <w:pPr>
        <w:pStyle w:val="Heading3"/>
        <w:rPr>
          <w:color w:val="2F5496" w:themeColor="accent1" w:themeShade="BF"/>
          <w:sz w:val="28"/>
          <w:szCs w:val="28"/>
        </w:rPr>
      </w:pPr>
      <w:r w:rsidRPr="00A01827">
        <w:rPr>
          <w:color w:val="2F5496" w:themeColor="accent1" w:themeShade="BF"/>
          <w:sz w:val="28"/>
          <w:szCs w:val="28"/>
        </w:rPr>
        <w:t xml:space="preserve">Atropine eye drops </w:t>
      </w:r>
    </w:p>
    <w:p w14:paraId="6E5D2C32" w14:textId="31983268" w:rsidR="000D72A2" w:rsidRDefault="000D72A2" w:rsidP="00AF475A">
      <w:r>
        <w:t xml:space="preserve">Atropine eye drops in strong concentrations (typically 0.5% to 1%) are used to temporarily dilate the pupil of the eye and stop the focussing muscles working in a variety of clinical applications. Atropine eye drops for myopia control, though, are a </w:t>
      </w:r>
      <w:proofErr w:type="gramStart"/>
      <w:r>
        <w:t>low-concentration</w:t>
      </w:r>
      <w:proofErr w:type="gramEnd"/>
      <w:r>
        <w:t xml:space="preserve"> (0.01% to 0.05%) with much fewer such side effects. Spectacles or contact lenses are still needed to correct the blurred vision from myopia, as atropine only acts to slow myopia progression.</w:t>
      </w:r>
    </w:p>
    <w:p w14:paraId="3E0D119E" w14:textId="0F0A8ADA" w:rsidR="000D72A2" w:rsidRDefault="000D72A2" w:rsidP="00AF475A"/>
    <w:p w14:paraId="3DFD7718" w14:textId="635D374C" w:rsidR="00A01827" w:rsidRPr="00A01827" w:rsidRDefault="00A01827" w:rsidP="00AF475A">
      <w:pPr>
        <w:rPr>
          <w:u w:val="single"/>
        </w:rPr>
      </w:pPr>
      <w:r w:rsidRPr="00A01827">
        <w:rPr>
          <w:u w:val="single"/>
        </w:rPr>
        <w:t xml:space="preserve">Risks and safety </w:t>
      </w:r>
    </w:p>
    <w:p w14:paraId="227D7895" w14:textId="4B315101" w:rsidR="000D72A2" w:rsidRDefault="000D72A2" w:rsidP="00AF475A">
      <w:r>
        <w:t xml:space="preserve">The risks </w:t>
      </w:r>
      <w:r w:rsidR="00AE06BE">
        <w:t xml:space="preserve">and side effects </w:t>
      </w:r>
      <w:r>
        <w:t>of atropine are as follows:</w:t>
      </w:r>
    </w:p>
    <w:p w14:paraId="2F3EEC75" w14:textId="673347D7" w:rsidR="00AE06BE" w:rsidRDefault="000D72A2" w:rsidP="000D72A2">
      <w:pPr>
        <w:pStyle w:val="ListParagraph"/>
        <w:numPr>
          <w:ilvl w:val="0"/>
          <w:numId w:val="14"/>
        </w:numPr>
      </w:pPr>
      <w:r>
        <w:t xml:space="preserve">Potential side effects of increased sensitivity to light due to larger pupil size, </w:t>
      </w:r>
      <w:r w:rsidR="00AE06BE">
        <w:t>which is typically resolved with light-sensitive glasses or sunglasses. One study found around a third of children requested these types of glasses, but this was the case even in the placebo (untreated) group.</w:t>
      </w:r>
      <w:r w:rsidR="00AE06BE" w:rsidRPr="00AE06BE">
        <w:rPr>
          <w:vertAlign w:val="superscript"/>
        </w:rPr>
        <w:t>1</w:t>
      </w:r>
      <w:r w:rsidR="003E660B">
        <w:rPr>
          <w:vertAlign w:val="superscript"/>
        </w:rPr>
        <w:t>5</w:t>
      </w:r>
    </w:p>
    <w:p w14:paraId="7B24DA51" w14:textId="086D6E73" w:rsidR="000D72A2" w:rsidRPr="00AE06BE" w:rsidRDefault="00AE06BE" w:rsidP="000D72A2">
      <w:pPr>
        <w:pStyle w:val="ListParagraph"/>
        <w:numPr>
          <w:ilvl w:val="0"/>
          <w:numId w:val="14"/>
        </w:numPr>
      </w:pPr>
      <w:r>
        <w:t>Problems with close-up focussing, which is typically resolved with glasses providing a stronger power for reading. One study found this only occurred in 1-2% of children treated with low-concentration atropine.</w:t>
      </w:r>
      <w:r w:rsidRPr="00AE06BE">
        <w:rPr>
          <w:vertAlign w:val="superscript"/>
        </w:rPr>
        <w:t>1</w:t>
      </w:r>
      <w:r w:rsidR="003E660B">
        <w:rPr>
          <w:vertAlign w:val="superscript"/>
        </w:rPr>
        <w:t>5</w:t>
      </w:r>
    </w:p>
    <w:p w14:paraId="48E4EE0A" w14:textId="6115FA56" w:rsidR="00AE06BE" w:rsidRDefault="00AE06BE" w:rsidP="000D72A2">
      <w:pPr>
        <w:pStyle w:val="ListParagraph"/>
        <w:numPr>
          <w:ilvl w:val="0"/>
          <w:numId w:val="14"/>
        </w:numPr>
      </w:pPr>
      <w:r>
        <w:t>Eye irritation or mild allergy, which can occur in 2-7%,</w:t>
      </w:r>
      <w:r w:rsidRPr="00AE06BE">
        <w:rPr>
          <w:vertAlign w:val="superscript"/>
        </w:rPr>
        <w:t>1</w:t>
      </w:r>
      <w:r w:rsidR="003E660B">
        <w:rPr>
          <w:vertAlign w:val="superscript"/>
        </w:rPr>
        <w:t>5</w:t>
      </w:r>
      <w:r>
        <w:t xml:space="preserve"> although this can depend on the formulation of the atropine. </w:t>
      </w:r>
    </w:p>
    <w:p w14:paraId="1203B1D3" w14:textId="77777777" w:rsidR="00AE06BE" w:rsidRDefault="00AE06BE" w:rsidP="00AE06BE"/>
    <w:p w14:paraId="4E1F475A" w14:textId="0A1F4677" w:rsidR="00636517" w:rsidRDefault="00AE06BE" w:rsidP="00A01827">
      <w:r>
        <w:lastRenderedPageBreak/>
        <w:t>Atropine can be toxic and even fatal to small children if it is ingested in high quantities by mouth, but high quantity absorption via the eye is unlikely.</w:t>
      </w:r>
      <w:r w:rsidRPr="00AE06BE">
        <w:rPr>
          <w:vertAlign w:val="superscript"/>
        </w:rPr>
        <w:t>1</w:t>
      </w:r>
      <w:r w:rsidR="003E660B">
        <w:rPr>
          <w:vertAlign w:val="superscript"/>
        </w:rPr>
        <w:t>6</w:t>
      </w:r>
      <w:r>
        <w:t xml:space="preserve"> Medication safety in the home is extremely important. </w:t>
      </w:r>
    </w:p>
    <w:p w14:paraId="6CDEED43" w14:textId="3F411FB9" w:rsidR="00A01827" w:rsidRDefault="00A01827" w:rsidP="00A01827"/>
    <w:p w14:paraId="6B82741A" w14:textId="320AE775" w:rsidR="00A01827" w:rsidRDefault="00A01827" w:rsidP="00894C38">
      <w:r w:rsidRPr="00A01827">
        <w:rPr>
          <w:u w:val="single"/>
        </w:rPr>
        <w:t>Benefits</w:t>
      </w:r>
      <w:r>
        <w:br/>
        <w:t xml:space="preserve">Atropine eye drops are typically used at </w:t>
      </w:r>
      <w:proofErr w:type="gramStart"/>
      <w:r>
        <w:t>night time</w:t>
      </w:r>
      <w:proofErr w:type="gramEnd"/>
      <w:r>
        <w:t xml:space="preserve">, before sleep, so are only utilized in the home environment. They are also ideal if </w:t>
      </w:r>
      <w:r w:rsidR="0050214C">
        <w:t xml:space="preserve">the effective spectacle or contact lens options for myopia control are not suitable or not available for your child. </w:t>
      </w:r>
    </w:p>
    <w:p w14:paraId="53FE42E3" w14:textId="77777777" w:rsidR="0057087D" w:rsidRDefault="0057087D" w:rsidP="00894C38"/>
    <w:p w14:paraId="714B92E8" w14:textId="50EF43C7" w:rsidR="0057087D" w:rsidRPr="00A01827" w:rsidRDefault="002E3601" w:rsidP="0057087D">
      <w:pPr>
        <w:pStyle w:val="Heading2"/>
        <w:rPr>
          <w:sz w:val="28"/>
          <w:szCs w:val="28"/>
        </w:rPr>
      </w:pPr>
      <w:r>
        <w:rPr>
          <w:sz w:val="28"/>
          <w:szCs w:val="28"/>
        </w:rPr>
        <w:t>M</w:t>
      </w:r>
      <w:r w:rsidR="0057087D" w:rsidRPr="00A01827">
        <w:rPr>
          <w:sz w:val="28"/>
          <w:szCs w:val="28"/>
        </w:rPr>
        <w:t>yopia progression</w:t>
      </w:r>
      <w:r>
        <w:rPr>
          <w:sz w:val="28"/>
          <w:szCs w:val="28"/>
        </w:rPr>
        <w:t xml:space="preserve"> management fees</w:t>
      </w:r>
    </w:p>
    <w:p w14:paraId="7B4FBD66" w14:textId="6487A6F3" w:rsidR="0057087D" w:rsidRDefault="0057087D" w:rsidP="006A4BF7">
      <w:pPr>
        <w:spacing w:line="240" w:lineRule="auto"/>
        <w:rPr>
          <w:vertAlign w:val="superscript"/>
        </w:rPr>
      </w:pPr>
      <w:r>
        <w:rPr>
          <w:lang w:val="en-US"/>
        </w:rPr>
        <w:t>The treatment for slowing myopia progression</w:t>
      </w:r>
      <w:r w:rsidR="006A4BF7">
        <w:rPr>
          <w:lang w:val="en-US"/>
        </w:rPr>
        <w:t xml:space="preserve"> requires </w:t>
      </w:r>
      <w:r w:rsidR="00AE78EA">
        <w:rPr>
          <w:lang w:val="en-US"/>
        </w:rPr>
        <w:t>more frequent</w:t>
      </w:r>
      <w:r w:rsidR="006A4BF7">
        <w:rPr>
          <w:lang w:val="en-US"/>
        </w:rPr>
        <w:t xml:space="preserve"> examinations, measurements, management and materials</w:t>
      </w:r>
      <w:r w:rsidR="002E3601">
        <w:rPr>
          <w:lang w:val="en-US"/>
        </w:rPr>
        <w:t>, therefore, i</w:t>
      </w:r>
      <w:r w:rsidR="006A4BF7">
        <w:rPr>
          <w:lang w:val="en-US"/>
        </w:rPr>
        <w:t>n addition to regular comprehensive eye health exam fees</w:t>
      </w:r>
      <w:r w:rsidR="002E3601">
        <w:rPr>
          <w:lang w:val="en-US"/>
        </w:rPr>
        <w:t>,</w:t>
      </w:r>
      <w:r w:rsidR="00344AC4" w:rsidRPr="00344AC4">
        <w:rPr>
          <w:lang w:val="en-US"/>
        </w:rPr>
        <w:t xml:space="preserve"> </w:t>
      </w:r>
      <w:r w:rsidR="00344AC4">
        <w:rPr>
          <w:lang w:val="en-US"/>
        </w:rPr>
        <w:t xml:space="preserve">myopia progression </w:t>
      </w:r>
      <w:r w:rsidR="002E3601">
        <w:rPr>
          <w:lang w:val="en-US"/>
        </w:rPr>
        <w:t xml:space="preserve">management </w:t>
      </w:r>
      <w:r w:rsidR="00344AC4">
        <w:rPr>
          <w:lang w:val="en-US"/>
        </w:rPr>
        <w:t>fees apply</w:t>
      </w:r>
      <w:r w:rsidR="006A4BF7">
        <w:rPr>
          <w:lang w:val="en-US"/>
        </w:rPr>
        <w:t xml:space="preserve">. </w:t>
      </w:r>
    </w:p>
    <w:p w14:paraId="1297E09C" w14:textId="4DB4F43F" w:rsidR="00E6481C" w:rsidRPr="00E6481C" w:rsidRDefault="00636517" w:rsidP="00E6481C">
      <w:pPr>
        <w:pStyle w:val="Heading1"/>
      </w:pPr>
      <w:r>
        <w:t xml:space="preserve">Informed consent </w:t>
      </w:r>
      <w:r w:rsidR="0050214C">
        <w:t>for</w:t>
      </w:r>
      <w:r>
        <w:t xml:space="preserve"> treatment</w:t>
      </w:r>
    </w:p>
    <w:p w14:paraId="2676362E" w14:textId="69C32951" w:rsidR="00636517" w:rsidRDefault="00636517" w:rsidP="00636517">
      <w:r>
        <w:t xml:space="preserve">I have had the available myopia management treatment options for my child explained to me, </w:t>
      </w:r>
      <w:r w:rsidR="0050214C">
        <w:t xml:space="preserve">including </w:t>
      </w:r>
      <w:r>
        <w:t xml:space="preserve">which treatment may be best for my child </w:t>
      </w:r>
      <w:r w:rsidR="0050214C">
        <w:t xml:space="preserve">and been offered the opportunity for discussion. As such I now understand that: </w:t>
      </w:r>
    </w:p>
    <w:p w14:paraId="20093D75" w14:textId="21090CF0" w:rsidR="00636517" w:rsidRDefault="0050214C" w:rsidP="00636517">
      <w:pPr>
        <w:pStyle w:val="ListParagraph"/>
        <w:numPr>
          <w:ilvl w:val="0"/>
          <w:numId w:val="10"/>
        </w:numPr>
        <w:spacing w:line="240" w:lineRule="auto"/>
      </w:pPr>
      <w:r>
        <w:t>T</w:t>
      </w:r>
      <w:r w:rsidR="00636517" w:rsidRPr="00CB4554">
        <w:t>he risks</w:t>
      </w:r>
      <w:r w:rsidR="004B1F9F">
        <w:t xml:space="preserve"> and benefits</w:t>
      </w:r>
      <w:r w:rsidR="00636517">
        <w:t xml:space="preserve"> for the various treatments</w:t>
      </w:r>
      <w:r w:rsidR="00636517" w:rsidRPr="00CB4554">
        <w:t xml:space="preserve"> as outlined above</w:t>
      </w:r>
    </w:p>
    <w:p w14:paraId="33B29BE6" w14:textId="77777777" w:rsidR="004B1F9F" w:rsidRDefault="0050214C" w:rsidP="004B1F9F">
      <w:pPr>
        <w:pStyle w:val="ListParagraph"/>
        <w:numPr>
          <w:ilvl w:val="0"/>
          <w:numId w:val="10"/>
        </w:numPr>
        <w:spacing w:line="240" w:lineRule="auto"/>
      </w:pPr>
      <w:r>
        <w:t>W</w:t>
      </w:r>
      <w:r w:rsidR="00636517" w:rsidRPr="00CB4554">
        <w:t xml:space="preserve">hilst these treatments are approved by the FDA for treatment and vision correction only some are approved specifically to slow the progression of myopia </w:t>
      </w:r>
    </w:p>
    <w:p w14:paraId="708FA7F4" w14:textId="11959CF2" w:rsidR="00636517" w:rsidRDefault="0050214C" w:rsidP="004B1F9F">
      <w:pPr>
        <w:pStyle w:val="ListParagraph"/>
        <w:numPr>
          <w:ilvl w:val="0"/>
          <w:numId w:val="10"/>
        </w:numPr>
        <w:spacing w:line="240" w:lineRule="auto"/>
      </w:pPr>
      <w:r>
        <w:t>T</w:t>
      </w:r>
      <w:r w:rsidR="00636517" w:rsidRPr="00CB4554">
        <w:t xml:space="preserve">he results for each child </w:t>
      </w:r>
      <w:r>
        <w:t xml:space="preserve">can vary </w:t>
      </w:r>
      <w:r w:rsidR="00636517" w:rsidRPr="00CB4554">
        <w:t>and there is no guarantee on the effectiveness of any treatment for an individual</w:t>
      </w:r>
    </w:p>
    <w:p w14:paraId="522B2E35" w14:textId="47E688EF" w:rsidR="00636517" w:rsidRDefault="00636517" w:rsidP="00636517">
      <w:pPr>
        <w:pStyle w:val="ListParagraph"/>
        <w:numPr>
          <w:ilvl w:val="0"/>
          <w:numId w:val="10"/>
        </w:numPr>
        <w:spacing w:line="240" w:lineRule="auto"/>
      </w:pPr>
      <w:r w:rsidRPr="00CB4554">
        <w:t xml:space="preserve">In some </w:t>
      </w:r>
      <w:proofErr w:type="gramStart"/>
      <w:r w:rsidRPr="00CB4554">
        <w:t>cases</w:t>
      </w:r>
      <w:proofErr w:type="gramEnd"/>
      <w:r w:rsidRPr="00CB4554">
        <w:t xml:space="preserve"> the evidence basis is for young children</w:t>
      </w:r>
      <w:r w:rsidR="0050214C">
        <w:t xml:space="preserve"> or specific prescription ranges</w:t>
      </w:r>
      <w:r w:rsidRPr="00CB4554">
        <w:t>, but older children may also require myopia control</w:t>
      </w:r>
    </w:p>
    <w:p w14:paraId="51CBC63E" w14:textId="7D302665" w:rsidR="002E3601" w:rsidRDefault="002E3601" w:rsidP="00636517">
      <w:pPr>
        <w:pStyle w:val="ListParagraph"/>
        <w:numPr>
          <w:ilvl w:val="0"/>
          <w:numId w:val="10"/>
        </w:numPr>
        <w:spacing w:line="240" w:lineRule="auto"/>
      </w:pPr>
      <w:r>
        <w:t>Additional fees apply for myopia progression management</w:t>
      </w:r>
    </w:p>
    <w:p w14:paraId="3D10993D" w14:textId="77777777" w:rsidR="00636517" w:rsidRDefault="00636517" w:rsidP="00636517"/>
    <w:p w14:paraId="545236AD" w14:textId="77777777" w:rsidR="000478AF" w:rsidRDefault="000478AF" w:rsidP="00636517"/>
    <w:p w14:paraId="40D38BCE" w14:textId="77777777" w:rsidR="00636517" w:rsidRDefault="00636517" w:rsidP="00636517">
      <w:r>
        <w:t>Child’s name</w:t>
      </w:r>
      <w:r>
        <w:tab/>
      </w:r>
      <w:r>
        <w:tab/>
        <w:t>______________________________________________________</w:t>
      </w:r>
    </w:p>
    <w:p w14:paraId="0EA74517" w14:textId="77777777" w:rsidR="00636517" w:rsidRDefault="00636517" w:rsidP="00636517"/>
    <w:p w14:paraId="4212425F" w14:textId="77777777" w:rsidR="00636517" w:rsidRDefault="00636517" w:rsidP="00636517">
      <w:r>
        <w:t>Parent’s name</w:t>
      </w:r>
      <w:r>
        <w:tab/>
      </w:r>
      <w:r>
        <w:tab/>
        <w:t>______________________________________________________</w:t>
      </w:r>
    </w:p>
    <w:p w14:paraId="51890722" w14:textId="77777777" w:rsidR="00636517" w:rsidRDefault="00636517" w:rsidP="00636517"/>
    <w:p w14:paraId="10E38E47" w14:textId="77777777" w:rsidR="00636517" w:rsidRDefault="00636517" w:rsidP="00636517">
      <w:r>
        <w:t>Parent’s signature</w:t>
      </w:r>
      <w:r>
        <w:tab/>
        <w:t>______________________________________________________</w:t>
      </w:r>
    </w:p>
    <w:p w14:paraId="04D5F4FE" w14:textId="77777777" w:rsidR="00636517" w:rsidRDefault="00636517" w:rsidP="00636517"/>
    <w:p w14:paraId="1F24546C" w14:textId="77777777" w:rsidR="00636517" w:rsidRDefault="00636517" w:rsidP="00636517">
      <w:r>
        <w:t>Practitioner name</w:t>
      </w:r>
      <w:r>
        <w:tab/>
        <w:t>______________________________________________________</w:t>
      </w:r>
    </w:p>
    <w:p w14:paraId="4FC763CA" w14:textId="77777777" w:rsidR="00636517" w:rsidRDefault="00636517" w:rsidP="00636517"/>
    <w:p w14:paraId="2F4C0AD6" w14:textId="77777777" w:rsidR="00636517" w:rsidRDefault="00636517" w:rsidP="00636517">
      <w:r>
        <w:t>Date</w:t>
      </w:r>
      <w:r>
        <w:tab/>
      </w:r>
      <w:r>
        <w:tab/>
      </w:r>
      <w:r>
        <w:tab/>
        <w:t>______________________________________________________</w:t>
      </w:r>
    </w:p>
    <w:p w14:paraId="35E17C9C" w14:textId="7E248FDB" w:rsidR="00636517" w:rsidRDefault="00636517" w:rsidP="00894C38">
      <w:pPr>
        <w:rPr>
          <w:b/>
          <w:bCs/>
          <w:i/>
          <w:iCs/>
        </w:rPr>
      </w:pPr>
    </w:p>
    <w:p w14:paraId="5BAFCE6D" w14:textId="3710EB81" w:rsidR="00465224" w:rsidRPr="0050214C" w:rsidRDefault="00465224" w:rsidP="00894C38">
      <w:pPr>
        <w:rPr>
          <w:b/>
          <w:bCs/>
          <w:i/>
          <w:iCs/>
          <w:sz w:val="28"/>
          <w:szCs w:val="28"/>
        </w:rPr>
      </w:pPr>
    </w:p>
    <w:p w14:paraId="64C2061F" w14:textId="60F537F2" w:rsidR="0050214C" w:rsidRPr="0050214C" w:rsidRDefault="0050214C" w:rsidP="0050214C">
      <w:pPr>
        <w:jc w:val="center"/>
        <w:rPr>
          <w:b/>
          <w:bCs/>
          <w:i/>
          <w:iCs/>
          <w:sz w:val="22"/>
          <w:szCs w:val="22"/>
        </w:rPr>
      </w:pPr>
      <w:r w:rsidRPr="0050214C">
        <w:rPr>
          <w:b/>
          <w:bCs/>
          <w:i/>
          <w:iCs/>
          <w:sz w:val="22"/>
          <w:szCs w:val="22"/>
        </w:rPr>
        <w:t xml:space="preserve">For more </w:t>
      </w:r>
      <w:proofErr w:type="gramStart"/>
      <w:r w:rsidRPr="0050214C">
        <w:rPr>
          <w:b/>
          <w:bCs/>
          <w:i/>
          <w:iCs/>
          <w:sz w:val="22"/>
          <w:szCs w:val="22"/>
        </w:rPr>
        <w:t>scientifically-based</w:t>
      </w:r>
      <w:proofErr w:type="gramEnd"/>
      <w:r w:rsidRPr="0050214C">
        <w:rPr>
          <w:b/>
          <w:bCs/>
          <w:i/>
          <w:iCs/>
          <w:sz w:val="22"/>
          <w:szCs w:val="22"/>
        </w:rPr>
        <w:t xml:space="preserve">, independent advice on childhood myopia and its management, go to </w:t>
      </w:r>
      <w:r w:rsidRPr="0050214C">
        <w:rPr>
          <w:b/>
          <w:bCs/>
          <w:i/>
          <w:iCs/>
          <w:color w:val="4472C4" w:themeColor="accent1"/>
          <w:sz w:val="22"/>
          <w:szCs w:val="22"/>
          <w:u w:val="single"/>
        </w:rPr>
        <w:t>mykidsvision</w:t>
      </w:r>
      <w:r>
        <w:rPr>
          <w:b/>
          <w:bCs/>
          <w:i/>
          <w:iCs/>
          <w:color w:val="4472C4" w:themeColor="accent1"/>
          <w:sz w:val="22"/>
          <w:szCs w:val="22"/>
          <w:u w:val="single"/>
        </w:rPr>
        <w:t>.org.</w:t>
      </w:r>
    </w:p>
    <w:p w14:paraId="1F277846" w14:textId="483DE90D" w:rsidR="0050214C" w:rsidRDefault="0050214C" w:rsidP="00894C38">
      <w:pPr>
        <w:rPr>
          <w:b/>
          <w:bCs/>
          <w:i/>
          <w:iCs/>
        </w:rPr>
      </w:pPr>
    </w:p>
    <w:p w14:paraId="0A22667A" w14:textId="77777777" w:rsidR="0050214C" w:rsidRDefault="0050214C" w:rsidP="00894C38">
      <w:pPr>
        <w:rPr>
          <w:b/>
          <w:bCs/>
          <w:i/>
          <w:iCs/>
        </w:rPr>
      </w:pPr>
    </w:p>
    <w:p w14:paraId="78031F15" w14:textId="7F0BA168" w:rsidR="0050214C" w:rsidRDefault="006A4BF7" w:rsidP="0050214C">
      <w:pPr>
        <w:pStyle w:val="Heading2"/>
      </w:pPr>
      <w:r>
        <w:t>S</w:t>
      </w:r>
      <w:r w:rsidR="0050214C">
        <w:t>uggested shorter reference list for parents</w:t>
      </w:r>
    </w:p>
    <w:p w14:paraId="397CFB06" w14:textId="57871BFE" w:rsidR="00F734F0" w:rsidRPr="00F734F0" w:rsidRDefault="00F734F0" w:rsidP="00F734F0">
      <w:pPr>
        <w:rPr>
          <w:b/>
          <w:bCs/>
          <w:i/>
          <w:iCs/>
        </w:rPr>
      </w:pPr>
    </w:p>
    <w:p w14:paraId="2CF60EDC" w14:textId="4E2878D8" w:rsidR="0050214C" w:rsidRPr="0050214C" w:rsidRDefault="0050214C" w:rsidP="0050214C">
      <w:pPr>
        <w:pStyle w:val="ListParagraph"/>
        <w:numPr>
          <w:ilvl w:val="0"/>
          <w:numId w:val="17"/>
        </w:numPr>
        <w:rPr>
          <w:sz w:val="20"/>
          <w:szCs w:val="20"/>
        </w:rPr>
      </w:pPr>
      <w:r w:rsidRPr="0050214C">
        <w:rPr>
          <w:sz w:val="20"/>
          <w:szCs w:val="20"/>
        </w:rPr>
        <w:t>Holden et al 2016</w:t>
      </w:r>
      <w:r>
        <w:rPr>
          <w:sz w:val="20"/>
          <w:szCs w:val="20"/>
        </w:rPr>
        <w:tab/>
      </w:r>
      <w:r>
        <w:rPr>
          <w:sz w:val="20"/>
          <w:szCs w:val="20"/>
        </w:rPr>
        <w:tab/>
      </w:r>
      <w:hyperlink r:id="rId7" w:history="1">
        <w:r w:rsidR="00F734F0" w:rsidRPr="00AF011C">
          <w:rPr>
            <w:rStyle w:val="Hyperlink"/>
            <w:sz w:val="20"/>
            <w:szCs w:val="20"/>
          </w:rPr>
          <w:t>https://pubmed.ncbi.nlm.nih.gov/26875007/</w:t>
        </w:r>
      </w:hyperlink>
      <w:r w:rsidR="00F734F0">
        <w:rPr>
          <w:sz w:val="20"/>
          <w:szCs w:val="20"/>
        </w:rPr>
        <w:t xml:space="preserve"> </w:t>
      </w:r>
    </w:p>
    <w:p w14:paraId="3CA32921" w14:textId="089FF9A4" w:rsidR="0050214C" w:rsidRPr="0050214C" w:rsidRDefault="0050214C" w:rsidP="0050214C">
      <w:pPr>
        <w:pStyle w:val="ListParagraph"/>
        <w:numPr>
          <w:ilvl w:val="0"/>
          <w:numId w:val="17"/>
        </w:numPr>
        <w:rPr>
          <w:sz w:val="20"/>
          <w:szCs w:val="20"/>
        </w:rPr>
      </w:pPr>
      <w:r w:rsidRPr="0050214C">
        <w:rPr>
          <w:sz w:val="20"/>
          <w:szCs w:val="20"/>
        </w:rPr>
        <w:t>COMET Group 2013</w:t>
      </w:r>
      <w:r w:rsidR="00F734F0">
        <w:rPr>
          <w:sz w:val="20"/>
          <w:szCs w:val="20"/>
        </w:rPr>
        <w:tab/>
      </w:r>
      <w:hyperlink r:id="rId8" w:history="1">
        <w:r w:rsidR="00F734F0" w:rsidRPr="00AF011C">
          <w:rPr>
            <w:rStyle w:val="Hyperlink"/>
            <w:sz w:val="20"/>
            <w:szCs w:val="20"/>
          </w:rPr>
          <w:t>https://pubmed.ncbi.nlm.nih.gov/24159085/</w:t>
        </w:r>
      </w:hyperlink>
      <w:r w:rsidR="00F734F0">
        <w:rPr>
          <w:sz w:val="20"/>
          <w:szCs w:val="20"/>
        </w:rPr>
        <w:t xml:space="preserve"> </w:t>
      </w:r>
    </w:p>
    <w:p w14:paraId="4BC8CF0C" w14:textId="4D3E31AD" w:rsidR="0050214C" w:rsidRPr="0050214C" w:rsidRDefault="0050214C" w:rsidP="0050214C">
      <w:pPr>
        <w:pStyle w:val="ListParagraph"/>
        <w:numPr>
          <w:ilvl w:val="0"/>
          <w:numId w:val="17"/>
        </w:numPr>
        <w:rPr>
          <w:sz w:val="20"/>
          <w:szCs w:val="20"/>
        </w:rPr>
      </w:pPr>
      <w:r w:rsidRPr="0050214C">
        <w:rPr>
          <w:sz w:val="20"/>
          <w:szCs w:val="20"/>
        </w:rPr>
        <w:t>Flitcroft 2012</w:t>
      </w:r>
      <w:r w:rsidR="00F734F0">
        <w:rPr>
          <w:sz w:val="20"/>
          <w:szCs w:val="20"/>
        </w:rPr>
        <w:tab/>
      </w:r>
      <w:r w:rsidR="00F734F0">
        <w:rPr>
          <w:sz w:val="20"/>
          <w:szCs w:val="20"/>
        </w:rPr>
        <w:tab/>
      </w:r>
      <w:hyperlink r:id="rId9" w:history="1">
        <w:r w:rsidR="00F734F0" w:rsidRPr="00AF011C">
          <w:rPr>
            <w:rStyle w:val="Hyperlink"/>
            <w:sz w:val="20"/>
            <w:szCs w:val="20"/>
          </w:rPr>
          <w:t>https://pubmed.ncbi.nlm.nih.gov/22772022/</w:t>
        </w:r>
      </w:hyperlink>
      <w:r w:rsidR="00F734F0">
        <w:rPr>
          <w:sz w:val="20"/>
          <w:szCs w:val="20"/>
        </w:rPr>
        <w:t xml:space="preserve"> </w:t>
      </w:r>
    </w:p>
    <w:p w14:paraId="68064959" w14:textId="5BC2A02D" w:rsidR="0050214C" w:rsidRPr="0050214C" w:rsidRDefault="0050214C" w:rsidP="0050214C">
      <w:pPr>
        <w:pStyle w:val="ListParagraph"/>
        <w:numPr>
          <w:ilvl w:val="0"/>
          <w:numId w:val="17"/>
        </w:numPr>
        <w:rPr>
          <w:sz w:val="20"/>
          <w:szCs w:val="20"/>
        </w:rPr>
      </w:pPr>
      <w:r w:rsidRPr="0050214C">
        <w:rPr>
          <w:sz w:val="20"/>
          <w:szCs w:val="20"/>
        </w:rPr>
        <w:t>Tideman et al 2016</w:t>
      </w:r>
      <w:r w:rsidR="00F734F0">
        <w:rPr>
          <w:sz w:val="20"/>
          <w:szCs w:val="20"/>
        </w:rPr>
        <w:tab/>
      </w:r>
      <w:hyperlink r:id="rId10" w:history="1">
        <w:r w:rsidR="00F734F0" w:rsidRPr="00AF011C">
          <w:rPr>
            <w:rStyle w:val="Hyperlink"/>
            <w:sz w:val="20"/>
            <w:szCs w:val="20"/>
          </w:rPr>
          <w:t>https://pubmed.ncbi.nlm.nih.gov/27768171/</w:t>
        </w:r>
      </w:hyperlink>
      <w:r w:rsidR="00F734F0">
        <w:rPr>
          <w:sz w:val="20"/>
          <w:szCs w:val="20"/>
        </w:rPr>
        <w:t xml:space="preserve"> </w:t>
      </w:r>
    </w:p>
    <w:p w14:paraId="26CC64AB" w14:textId="25A06DC4" w:rsidR="0050214C" w:rsidRPr="0050214C" w:rsidRDefault="0050214C" w:rsidP="0050214C">
      <w:pPr>
        <w:pStyle w:val="ListParagraph"/>
        <w:numPr>
          <w:ilvl w:val="0"/>
          <w:numId w:val="17"/>
        </w:numPr>
        <w:rPr>
          <w:sz w:val="20"/>
          <w:szCs w:val="20"/>
        </w:rPr>
      </w:pPr>
      <w:r w:rsidRPr="0050214C">
        <w:rPr>
          <w:sz w:val="20"/>
          <w:szCs w:val="20"/>
        </w:rPr>
        <w:t>Chua et al 2016</w:t>
      </w:r>
      <w:r w:rsidR="00F734F0">
        <w:rPr>
          <w:sz w:val="20"/>
          <w:szCs w:val="20"/>
        </w:rPr>
        <w:tab/>
      </w:r>
      <w:r w:rsidR="00F734F0">
        <w:rPr>
          <w:sz w:val="20"/>
          <w:szCs w:val="20"/>
        </w:rPr>
        <w:tab/>
      </w:r>
      <w:hyperlink r:id="rId11" w:history="1">
        <w:r w:rsidR="00F734F0" w:rsidRPr="00AF011C">
          <w:rPr>
            <w:rStyle w:val="Hyperlink"/>
            <w:sz w:val="20"/>
            <w:szCs w:val="20"/>
          </w:rPr>
          <w:t>https://pubmed.ncbi.nlm.nih.gov/27350183/</w:t>
        </w:r>
      </w:hyperlink>
      <w:r w:rsidR="00F734F0">
        <w:rPr>
          <w:sz w:val="20"/>
          <w:szCs w:val="20"/>
        </w:rPr>
        <w:t xml:space="preserve"> </w:t>
      </w:r>
    </w:p>
    <w:p w14:paraId="6B241BEE" w14:textId="070DFB6D" w:rsidR="0050214C" w:rsidRPr="0050214C" w:rsidRDefault="0050214C" w:rsidP="0050214C">
      <w:pPr>
        <w:pStyle w:val="ListParagraph"/>
        <w:numPr>
          <w:ilvl w:val="0"/>
          <w:numId w:val="17"/>
        </w:numPr>
        <w:rPr>
          <w:sz w:val="20"/>
          <w:szCs w:val="20"/>
        </w:rPr>
      </w:pPr>
      <w:r w:rsidRPr="0050214C">
        <w:rPr>
          <w:sz w:val="20"/>
          <w:szCs w:val="20"/>
        </w:rPr>
        <w:t>Brennan et al 2020</w:t>
      </w:r>
      <w:r w:rsidR="00F734F0">
        <w:rPr>
          <w:sz w:val="20"/>
          <w:szCs w:val="20"/>
        </w:rPr>
        <w:tab/>
      </w:r>
      <w:hyperlink r:id="rId12" w:history="1">
        <w:r w:rsidR="00F734F0" w:rsidRPr="00AF011C">
          <w:rPr>
            <w:rStyle w:val="Hyperlink"/>
            <w:sz w:val="20"/>
            <w:szCs w:val="20"/>
          </w:rPr>
          <w:t>https://pubmed.ncbi.nlm.nih.gov/33253901/</w:t>
        </w:r>
      </w:hyperlink>
      <w:r w:rsidR="00F734F0">
        <w:rPr>
          <w:sz w:val="20"/>
          <w:szCs w:val="20"/>
        </w:rPr>
        <w:t xml:space="preserve"> </w:t>
      </w:r>
    </w:p>
    <w:p w14:paraId="7B08B421" w14:textId="5A1ABC8A" w:rsidR="0050214C" w:rsidRPr="0050214C" w:rsidRDefault="0050214C" w:rsidP="0050214C">
      <w:pPr>
        <w:pStyle w:val="ListParagraph"/>
        <w:numPr>
          <w:ilvl w:val="0"/>
          <w:numId w:val="17"/>
        </w:numPr>
        <w:rPr>
          <w:sz w:val="20"/>
          <w:szCs w:val="20"/>
        </w:rPr>
      </w:pPr>
      <w:r w:rsidRPr="0050214C">
        <w:rPr>
          <w:sz w:val="20"/>
          <w:szCs w:val="20"/>
        </w:rPr>
        <w:t>Gifford et al 2019</w:t>
      </w:r>
      <w:r w:rsidR="00F734F0">
        <w:rPr>
          <w:sz w:val="20"/>
          <w:szCs w:val="20"/>
        </w:rPr>
        <w:tab/>
      </w:r>
      <w:r w:rsidR="00F734F0">
        <w:rPr>
          <w:sz w:val="20"/>
          <w:szCs w:val="20"/>
        </w:rPr>
        <w:tab/>
      </w:r>
      <w:hyperlink r:id="rId13" w:history="1">
        <w:r w:rsidR="00F734F0" w:rsidRPr="00AF011C">
          <w:rPr>
            <w:rStyle w:val="Hyperlink"/>
            <w:sz w:val="20"/>
            <w:szCs w:val="20"/>
          </w:rPr>
          <w:t>https://pubmed.ncbi.nlm.nih.gov/30817832/</w:t>
        </w:r>
      </w:hyperlink>
      <w:r w:rsidR="00F734F0">
        <w:rPr>
          <w:sz w:val="20"/>
          <w:szCs w:val="20"/>
        </w:rPr>
        <w:t xml:space="preserve"> </w:t>
      </w:r>
    </w:p>
    <w:p w14:paraId="2E0788E5" w14:textId="7BD254EA" w:rsidR="0050214C" w:rsidRPr="0050214C" w:rsidRDefault="0050214C" w:rsidP="0050214C">
      <w:pPr>
        <w:pStyle w:val="ListParagraph"/>
        <w:numPr>
          <w:ilvl w:val="0"/>
          <w:numId w:val="17"/>
        </w:numPr>
        <w:rPr>
          <w:sz w:val="20"/>
          <w:szCs w:val="20"/>
        </w:rPr>
      </w:pPr>
      <w:r w:rsidRPr="0050214C">
        <w:rPr>
          <w:sz w:val="20"/>
          <w:szCs w:val="20"/>
        </w:rPr>
        <w:t>Bullimore &amp; Brennan 2019</w:t>
      </w:r>
      <w:r w:rsidR="00F734F0">
        <w:rPr>
          <w:sz w:val="20"/>
          <w:szCs w:val="20"/>
        </w:rPr>
        <w:t xml:space="preserve">  </w:t>
      </w:r>
      <w:hyperlink r:id="rId14" w:history="1">
        <w:r w:rsidR="00F734F0" w:rsidRPr="00AF011C">
          <w:rPr>
            <w:rStyle w:val="Hyperlink"/>
            <w:sz w:val="20"/>
            <w:szCs w:val="20"/>
          </w:rPr>
          <w:t>https://pubmed.ncbi.nlm.nih.gov/31116165/</w:t>
        </w:r>
      </w:hyperlink>
      <w:r w:rsidR="00F734F0">
        <w:rPr>
          <w:sz w:val="20"/>
          <w:szCs w:val="20"/>
        </w:rPr>
        <w:t xml:space="preserve"> </w:t>
      </w:r>
    </w:p>
    <w:p w14:paraId="3203D329" w14:textId="62907E57" w:rsidR="0050214C" w:rsidRPr="0050214C" w:rsidRDefault="0050214C" w:rsidP="0050214C">
      <w:pPr>
        <w:pStyle w:val="ListParagraph"/>
        <w:numPr>
          <w:ilvl w:val="0"/>
          <w:numId w:val="17"/>
        </w:numPr>
        <w:rPr>
          <w:sz w:val="20"/>
          <w:szCs w:val="20"/>
        </w:rPr>
      </w:pPr>
      <w:r w:rsidRPr="0050214C">
        <w:rPr>
          <w:sz w:val="20"/>
          <w:szCs w:val="20"/>
        </w:rPr>
        <w:t>Stapleton et al 2008</w:t>
      </w:r>
      <w:r w:rsidR="00F734F0">
        <w:rPr>
          <w:sz w:val="20"/>
          <w:szCs w:val="20"/>
        </w:rPr>
        <w:tab/>
      </w:r>
      <w:hyperlink r:id="rId15" w:history="1">
        <w:r w:rsidR="00F734F0" w:rsidRPr="00AF011C">
          <w:rPr>
            <w:rStyle w:val="Hyperlink"/>
            <w:sz w:val="20"/>
            <w:szCs w:val="20"/>
          </w:rPr>
          <w:t>https://pubmed.ncbi.nlm.nih.gov/18538404/</w:t>
        </w:r>
      </w:hyperlink>
      <w:r w:rsidR="00F734F0">
        <w:rPr>
          <w:sz w:val="20"/>
          <w:szCs w:val="20"/>
        </w:rPr>
        <w:t xml:space="preserve"> </w:t>
      </w:r>
    </w:p>
    <w:p w14:paraId="4D27DA9A" w14:textId="2A363090" w:rsidR="0050214C" w:rsidRPr="0050214C" w:rsidRDefault="0050214C" w:rsidP="0050214C">
      <w:pPr>
        <w:pStyle w:val="ListParagraph"/>
        <w:numPr>
          <w:ilvl w:val="0"/>
          <w:numId w:val="17"/>
        </w:numPr>
        <w:rPr>
          <w:sz w:val="20"/>
          <w:szCs w:val="20"/>
        </w:rPr>
      </w:pPr>
      <w:r w:rsidRPr="0050214C">
        <w:rPr>
          <w:sz w:val="20"/>
          <w:szCs w:val="20"/>
        </w:rPr>
        <w:t>Bullimore et al 2013</w:t>
      </w:r>
      <w:r w:rsidR="00F734F0">
        <w:rPr>
          <w:sz w:val="20"/>
          <w:szCs w:val="20"/>
        </w:rPr>
        <w:tab/>
      </w:r>
      <w:hyperlink r:id="rId16" w:history="1">
        <w:r w:rsidR="00F734F0" w:rsidRPr="00AF011C">
          <w:rPr>
            <w:rStyle w:val="Hyperlink"/>
            <w:sz w:val="20"/>
            <w:szCs w:val="20"/>
          </w:rPr>
          <w:t>https://pubmed.ncbi.nlm.nih.gov/23892491/</w:t>
        </w:r>
      </w:hyperlink>
      <w:r w:rsidR="00F734F0">
        <w:rPr>
          <w:sz w:val="20"/>
          <w:szCs w:val="20"/>
        </w:rPr>
        <w:t xml:space="preserve"> </w:t>
      </w:r>
    </w:p>
    <w:p w14:paraId="682A3D3C" w14:textId="6D24DA3A" w:rsidR="0050214C" w:rsidRPr="0050214C" w:rsidRDefault="0050214C" w:rsidP="0050214C">
      <w:pPr>
        <w:pStyle w:val="ListParagraph"/>
        <w:numPr>
          <w:ilvl w:val="0"/>
          <w:numId w:val="17"/>
        </w:numPr>
        <w:rPr>
          <w:sz w:val="20"/>
          <w:szCs w:val="20"/>
        </w:rPr>
      </w:pPr>
      <w:r w:rsidRPr="0050214C">
        <w:rPr>
          <w:sz w:val="20"/>
          <w:szCs w:val="20"/>
        </w:rPr>
        <w:t>Arshad et al 2019</w:t>
      </w:r>
      <w:r w:rsidR="00F734F0">
        <w:rPr>
          <w:sz w:val="20"/>
          <w:szCs w:val="20"/>
        </w:rPr>
        <w:tab/>
      </w:r>
      <w:r w:rsidR="00F734F0">
        <w:rPr>
          <w:sz w:val="20"/>
          <w:szCs w:val="20"/>
        </w:rPr>
        <w:tab/>
      </w:r>
      <w:hyperlink r:id="rId17" w:history="1">
        <w:r w:rsidR="00F734F0" w:rsidRPr="00AF011C">
          <w:rPr>
            <w:rStyle w:val="Hyperlink"/>
            <w:sz w:val="20"/>
            <w:szCs w:val="20"/>
          </w:rPr>
          <w:t>https://pubmed.ncbi.nlm.nih.gov/30789440/</w:t>
        </w:r>
      </w:hyperlink>
      <w:r w:rsidR="00F734F0">
        <w:rPr>
          <w:sz w:val="20"/>
          <w:szCs w:val="20"/>
        </w:rPr>
        <w:t xml:space="preserve"> </w:t>
      </w:r>
    </w:p>
    <w:p w14:paraId="5E6C585A" w14:textId="6B643BCE" w:rsidR="0050214C" w:rsidRPr="0050214C" w:rsidRDefault="0050214C" w:rsidP="0050214C">
      <w:pPr>
        <w:pStyle w:val="ListParagraph"/>
        <w:numPr>
          <w:ilvl w:val="0"/>
          <w:numId w:val="17"/>
        </w:numPr>
        <w:rPr>
          <w:sz w:val="20"/>
          <w:szCs w:val="20"/>
        </w:rPr>
      </w:pPr>
      <w:r w:rsidRPr="0050214C">
        <w:rPr>
          <w:sz w:val="20"/>
          <w:szCs w:val="20"/>
        </w:rPr>
        <w:t>Walline et al 2007a</w:t>
      </w:r>
      <w:r w:rsidR="00F734F0">
        <w:rPr>
          <w:sz w:val="20"/>
          <w:szCs w:val="20"/>
        </w:rPr>
        <w:tab/>
      </w:r>
      <w:hyperlink r:id="rId18" w:history="1">
        <w:r w:rsidR="00F734F0" w:rsidRPr="00AF011C">
          <w:rPr>
            <w:rStyle w:val="Hyperlink"/>
            <w:sz w:val="20"/>
            <w:szCs w:val="20"/>
          </w:rPr>
          <w:t>https://pubmed.ncbi.nlm.nih.gov/17993828/</w:t>
        </w:r>
      </w:hyperlink>
      <w:r w:rsidR="00F734F0">
        <w:rPr>
          <w:sz w:val="20"/>
          <w:szCs w:val="20"/>
        </w:rPr>
        <w:t xml:space="preserve"> </w:t>
      </w:r>
    </w:p>
    <w:p w14:paraId="05537302" w14:textId="71F7CCFC" w:rsidR="0050214C" w:rsidRPr="0050214C" w:rsidRDefault="0050214C" w:rsidP="0050214C">
      <w:pPr>
        <w:pStyle w:val="ListParagraph"/>
        <w:numPr>
          <w:ilvl w:val="0"/>
          <w:numId w:val="17"/>
        </w:numPr>
        <w:rPr>
          <w:sz w:val="20"/>
          <w:szCs w:val="20"/>
        </w:rPr>
      </w:pPr>
      <w:r w:rsidRPr="0050214C">
        <w:rPr>
          <w:sz w:val="20"/>
          <w:szCs w:val="20"/>
        </w:rPr>
        <w:t>Bullimore 2017</w:t>
      </w:r>
      <w:r w:rsidR="00F734F0">
        <w:rPr>
          <w:sz w:val="20"/>
          <w:szCs w:val="20"/>
        </w:rPr>
        <w:tab/>
      </w:r>
      <w:r w:rsidR="00F734F0">
        <w:rPr>
          <w:sz w:val="20"/>
          <w:szCs w:val="20"/>
        </w:rPr>
        <w:tab/>
      </w:r>
      <w:hyperlink r:id="rId19" w:history="1">
        <w:r w:rsidR="00F734F0" w:rsidRPr="00AF011C">
          <w:rPr>
            <w:rStyle w:val="Hyperlink"/>
            <w:sz w:val="20"/>
            <w:szCs w:val="20"/>
          </w:rPr>
          <w:t>https://pubmed.ncbi.nlm.nih.gov/28514244/</w:t>
        </w:r>
      </w:hyperlink>
      <w:r w:rsidR="00F734F0">
        <w:rPr>
          <w:sz w:val="20"/>
          <w:szCs w:val="20"/>
        </w:rPr>
        <w:t xml:space="preserve"> </w:t>
      </w:r>
    </w:p>
    <w:p w14:paraId="2E0C0913" w14:textId="748E4888" w:rsidR="0050214C" w:rsidRPr="0050214C" w:rsidRDefault="0050214C" w:rsidP="0050214C">
      <w:pPr>
        <w:pStyle w:val="ListParagraph"/>
        <w:numPr>
          <w:ilvl w:val="0"/>
          <w:numId w:val="17"/>
        </w:numPr>
        <w:rPr>
          <w:sz w:val="20"/>
          <w:szCs w:val="20"/>
        </w:rPr>
      </w:pPr>
      <w:r w:rsidRPr="0050214C">
        <w:rPr>
          <w:sz w:val="20"/>
          <w:szCs w:val="20"/>
        </w:rPr>
        <w:t>Walline et al 2007b</w:t>
      </w:r>
      <w:r w:rsidR="00F734F0">
        <w:rPr>
          <w:sz w:val="20"/>
          <w:szCs w:val="20"/>
        </w:rPr>
        <w:tab/>
      </w:r>
      <w:hyperlink r:id="rId20" w:history="1">
        <w:r w:rsidR="00F734F0" w:rsidRPr="00AF011C">
          <w:rPr>
            <w:rStyle w:val="Hyperlink"/>
            <w:sz w:val="20"/>
            <w:szCs w:val="20"/>
          </w:rPr>
          <w:t>https://pubmed.ncbi.nlm.nih.gov/17873776/</w:t>
        </w:r>
      </w:hyperlink>
      <w:r w:rsidR="00F734F0">
        <w:rPr>
          <w:sz w:val="20"/>
          <w:szCs w:val="20"/>
        </w:rPr>
        <w:t xml:space="preserve"> </w:t>
      </w:r>
    </w:p>
    <w:p w14:paraId="4E57F0BD" w14:textId="5829F3BF" w:rsidR="0050214C" w:rsidRPr="0050214C" w:rsidRDefault="0050214C" w:rsidP="0050214C">
      <w:pPr>
        <w:pStyle w:val="ListParagraph"/>
        <w:numPr>
          <w:ilvl w:val="0"/>
          <w:numId w:val="17"/>
        </w:numPr>
        <w:rPr>
          <w:sz w:val="20"/>
          <w:szCs w:val="20"/>
        </w:rPr>
      </w:pPr>
      <w:r w:rsidRPr="0050214C">
        <w:rPr>
          <w:sz w:val="20"/>
          <w:szCs w:val="20"/>
        </w:rPr>
        <w:t>Yam et al 2019</w:t>
      </w:r>
      <w:r w:rsidR="00F734F0">
        <w:rPr>
          <w:sz w:val="20"/>
          <w:szCs w:val="20"/>
        </w:rPr>
        <w:tab/>
      </w:r>
      <w:r w:rsidR="00F734F0">
        <w:rPr>
          <w:sz w:val="20"/>
          <w:szCs w:val="20"/>
        </w:rPr>
        <w:tab/>
      </w:r>
      <w:hyperlink r:id="rId21" w:history="1">
        <w:r w:rsidR="00F734F0" w:rsidRPr="00AF011C">
          <w:rPr>
            <w:rStyle w:val="Hyperlink"/>
            <w:sz w:val="20"/>
            <w:szCs w:val="20"/>
          </w:rPr>
          <w:t>https://pubmed.ncbi.nlm.nih.gov/30514630/</w:t>
        </w:r>
      </w:hyperlink>
      <w:r w:rsidR="00F734F0">
        <w:rPr>
          <w:sz w:val="20"/>
          <w:szCs w:val="20"/>
        </w:rPr>
        <w:t xml:space="preserve"> </w:t>
      </w:r>
    </w:p>
    <w:p w14:paraId="3656BB6B" w14:textId="77777777" w:rsidR="00FC09FA" w:rsidRDefault="0050214C" w:rsidP="00FC09FA">
      <w:pPr>
        <w:pStyle w:val="ListParagraph"/>
        <w:numPr>
          <w:ilvl w:val="0"/>
          <w:numId w:val="17"/>
        </w:numPr>
        <w:rPr>
          <w:sz w:val="20"/>
          <w:szCs w:val="20"/>
        </w:rPr>
      </w:pPr>
      <w:r w:rsidRPr="0050214C">
        <w:rPr>
          <w:sz w:val="20"/>
          <w:szCs w:val="20"/>
        </w:rPr>
        <w:t>North &amp; Kelly 1987</w:t>
      </w:r>
      <w:r w:rsidR="00F734F0">
        <w:rPr>
          <w:sz w:val="20"/>
          <w:szCs w:val="20"/>
        </w:rPr>
        <w:tab/>
      </w:r>
      <w:hyperlink r:id="rId22" w:history="1">
        <w:r w:rsidR="00F734F0" w:rsidRPr="00AF011C">
          <w:rPr>
            <w:rStyle w:val="Hyperlink"/>
            <w:sz w:val="20"/>
            <w:szCs w:val="20"/>
          </w:rPr>
          <w:t>https://pubmed.ncbi.nlm.nih.gov/2958765/</w:t>
        </w:r>
      </w:hyperlink>
      <w:r w:rsidR="00F734F0">
        <w:rPr>
          <w:sz w:val="20"/>
          <w:szCs w:val="20"/>
        </w:rPr>
        <w:t xml:space="preserve"> </w:t>
      </w:r>
    </w:p>
    <w:p w14:paraId="6009F972" w14:textId="0B1EC420" w:rsidR="0050214C" w:rsidRDefault="00FC09FA" w:rsidP="00FC09FA">
      <w:pPr>
        <w:pStyle w:val="ListParagraph"/>
        <w:numPr>
          <w:ilvl w:val="0"/>
          <w:numId w:val="17"/>
        </w:numPr>
        <w:rPr>
          <w:sz w:val="20"/>
          <w:szCs w:val="20"/>
        </w:rPr>
      </w:pPr>
      <w:r w:rsidRPr="00FC09FA">
        <w:rPr>
          <w:sz w:val="20"/>
          <w:szCs w:val="20"/>
        </w:rPr>
        <w:t>Y</w:t>
      </w:r>
      <w:r w:rsidR="0050214C" w:rsidRPr="00FC09FA">
        <w:rPr>
          <w:sz w:val="20"/>
          <w:szCs w:val="20"/>
        </w:rPr>
        <w:t>ang et al 2021</w:t>
      </w:r>
      <w:r w:rsidR="00F734F0" w:rsidRPr="00FC09FA">
        <w:rPr>
          <w:sz w:val="20"/>
          <w:szCs w:val="20"/>
        </w:rPr>
        <w:tab/>
      </w:r>
      <w:r w:rsidR="00F734F0" w:rsidRPr="00FC09FA">
        <w:rPr>
          <w:sz w:val="20"/>
          <w:szCs w:val="20"/>
        </w:rPr>
        <w:tab/>
      </w:r>
      <w:hyperlink r:id="rId23" w:history="1">
        <w:r w:rsidR="00F734F0" w:rsidRPr="00FC09FA">
          <w:rPr>
            <w:rStyle w:val="Hyperlink"/>
            <w:sz w:val="20"/>
            <w:szCs w:val="20"/>
          </w:rPr>
          <w:t>https://pubmed.ncbi.nlm.nih.gov/32674999/</w:t>
        </w:r>
      </w:hyperlink>
      <w:r w:rsidR="00F734F0" w:rsidRPr="00FC09FA">
        <w:rPr>
          <w:sz w:val="20"/>
          <w:szCs w:val="20"/>
        </w:rPr>
        <w:t xml:space="preserve"> </w:t>
      </w:r>
      <w:r w:rsidR="0050214C">
        <w:br/>
      </w:r>
    </w:p>
    <w:p w14:paraId="6D69DECF" w14:textId="77777777" w:rsidR="000478AF" w:rsidRDefault="000478AF" w:rsidP="000478AF">
      <w:pPr>
        <w:rPr>
          <w:sz w:val="20"/>
          <w:szCs w:val="20"/>
        </w:rPr>
      </w:pPr>
    </w:p>
    <w:p w14:paraId="4EAB70D2" w14:textId="77777777" w:rsidR="000478AF" w:rsidRDefault="000478AF" w:rsidP="000478AF">
      <w:pPr>
        <w:rPr>
          <w:sz w:val="20"/>
          <w:szCs w:val="20"/>
        </w:rPr>
      </w:pPr>
    </w:p>
    <w:p w14:paraId="75B0B180" w14:textId="77777777" w:rsidR="000478AF" w:rsidRDefault="000478AF" w:rsidP="000478AF">
      <w:pPr>
        <w:rPr>
          <w:sz w:val="20"/>
          <w:szCs w:val="20"/>
        </w:rPr>
      </w:pPr>
    </w:p>
    <w:p w14:paraId="25738162" w14:textId="77777777" w:rsidR="000478AF" w:rsidRDefault="000478AF" w:rsidP="000478AF">
      <w:pPr>
        <w:rPr>
          <w:sz w:val="20"/>
          <w:szCs w:val="20"/>
        </w:rPr>
      </w:pPr>
    </w:p>
    <w:p w14:paraId="72B324A6" w14:textId="77777777" w:rsidR="000478AF" w:rsidRDefault="000478AF" w:rsidP="000478AF">
      <w:pPr>
        <w:rPr>
          <w:sz w:val="20"/>
          <w:szCs w:val="20"/>
        </w:rPr>
      </w:pPr>
    </w:p>
    <w:p w14:paraId="421EDF41" w14:textId="77777777" w:rsidR="000478AF" w:rsidRDefault="000478AF" w:rsidP="000478AF">
      <w:pPr>
        <w:rPr>
          <w:sz w:val="20"/>
          <w:szCs w:val="20"/>
        </w:rPr>
      </w:pPr>
    </w:p>
    <w:p w14:paraId="621BCBA1" w14:textId="77777777" w:rsidR="000478AF" w:rsidRDefault="000478AF" w:rsidP="000478AF">
      <w:pPr>
        <w:rPr>
          <w:sz w:val="20"/>
          <w:szCs w:val="20"/>
        </w:rPr>
      </w:pPr>
    </w:p>
    <w:p w14:paraId="7B0FC6BD" w14:textId="77777777" w:rsidR="000478AF" w:rsidRDefault="000478AF" w:rsidP="000478AF">
      <w:pPr>
        <w:rPr>
          <w:sz w:val="20"/>
          <w:szCs w:val="20"/>
        </w:rPr>
      </w:pPr>
    </w:p>
    <w:p w14:paraId="18915FC2" w14:textId="77777777" w:rsidR="000478AF" w:rsidRDefault="000478AF" w:rsidP="000478AF">
      <w:pPr>
        <w:rPr>
          <w:sz w:val="20"/>
          <w:szCs w:val="20"/>
        </w:rPr>
      </w:pPr>
    </w:p>
    <w:p w14:paraId="2CE5132A" w14:textId="77777777" w:rsidR="000478AF" w:rsidRDefault="000478AF" w:rsidP="000478AF">
      <w:pPr>
        <w:rPr>
          <w:sz w:val="20"/>
          <w:szCs w:val="20"/>
        </w:rPr>
      </w:pPr>
    </w:p>
    <w:p w14:paraId="53045CA9" w14:textId="77777777" w:rsidR="000478AF" w:rsidRDefault="000478AF" w:rsidP="000478AF">
      <w:pPr>
        <w:rPr>
          <w:sz w:val="20"/>
          <w:szCs w:val="20"/>
        </w:rPr>
      </w:pPr>
    </w:p>
    <w:p w14:paraId="2E255705" w14:textId="77777777" w:rsidR="000478AF" w:rsidRDefault="000478AF" w:rsidP="000478AF">
      <w:pPr>
        <w:rPr>
          <w:sz w:val="20"/>
          <w:szCs w:val="20"/>
        </w:rPr>
      </w:pPr>
    </w:p>
    <w:p w14:paraId="284AAEDD" w14:textId="77777777" w:rsidR="000478AF" w:rsidRDefault="000478AF" w:rsidP="000478AF">
      <w:pPr>
        <w:rPr>
          <w:sz w:val="20"/>
          <w:szCs w:val="20"/>
        </w:rPr>
      </w:pPr>
    </w:p>
    <w:p w14:paraId="5F6C0FD2" w14:textId="77777777" w:rsidR="000478AF" w:rsidRDefault="000478AF" w:rsidP="000478AF">
      <w:pPr>
        <w:rPr>
          <w:sz w:val="20"/>
          <w:szCs w:val="20"/>
        </w:rPr>
      </w:pPr>
    </w:p>
    <w:p w14:paraId="73C38354" w14:textId="77777777" w:rsidR="000478AF" w:rsidRDefault="000478AF" w:rsidP="000478AF">
      <w:pPr>
        <w:rPr>
          <w:sz w:val="20"/>
          <w:szCs w:val="20"/>
        </w:rPr>
      </w:pPr>
    </w:p>
    <w:p w14:paraId="369AD87E" w14:textId="77777777" w:rsidR="000478AF" w:rsidRDefault="000478AF" w:rsidP="000478AF">
      <w:pPr>
        <w:rPr>
          <w:sz w:val="20"/>
          <w:szCs w:val="20"/>
        </w:rPr>
      </w:pPr>
    </w:p>
    <w:p w14:paraId="01AD1FEA" w14:textId="77777777" w:rsidR="000478AF" w:rsidRDefault="000478AF" w:rsidP="000478AF">
      <w:pPr>
        <w:rPr>
          <w:sz w:val="20"/>
          <w:szCs w:val="20"/>
        </w:rPr>
      </w:pPr>
    </w:p>
    <w:p w14:paraId="52E0C30D" w14:textId="77777777" w:rsidR="000478AF" w:rsidRDefault="000478AF" w:rsidP="000478AF">
      <w:pPr>
        <w:rPr>
          <w:sz w:val="20"/>
          <w:szCs w:val="20"/>
        </w:rPr>
      </w:pPr>
    </w:p>
    <w:p w14:paraId="2120BE27" w14:textId="77777777" w:rsidR="000478AF" w:rsidRDefault="000478AF" w:rsidP="000478AF">
      <w:pPr>
        <w:rPr>
          <w:sz w:val="20"/>
          <w:szCs w:val="20"/>
        </w:rPr>
      </w:pPr>
    </w:p>
    <w:p w14:paraId="223D1B97" w14:textId="77777777" w:rsidR="000478AF" w:rsidRDefault="000478AF" w:rsidP="000478AF">
      <w:pPr>
        <w:rPr>
          <w:sz w:val="20"/>
          <w:szCs w:val="20"/>
        </w:rPr>
      </w:pPr>
    </w:p>
    <w:p w14:paraId="5BF3D58B" w14:textId="77777777" w:rsidR="000478AF" w:rsidRDefault="000478AF" w:rsidP="000478AF">
      <w:pPr>
        <w:rPr>
          <w:sz w:val="20"/>
          <w:szCs w:val="20"/>
        </w:rPr>
      </w:pPr>
    </w:p>
    <w:p w14:paraId="1B6C5EEC" w14:textId="77777777" w:rsidR="000478AF" w:rsidRDefault="000478AF" w:rsidP="000478AF">
      <w:pPr>
        <w:rPr>
          <w:sz w:val="20"/>
          <w:szCs w:val="20"/>
        </w:rPr>
      </w:pPr>
    </w:p>
    <w:p w14:paraId="492E088E" w14:textId="77777777" w:rsidR="000478AF" w:rsidRDefault="000478AF" w:rsidP="000478AF">
      <w:pPr>
        <w:rPr>
          <w:sz w:val="20"/>
          <w:szCs w:val="20"/>
        </w:rPr>
      </w:pPr>
    </w:p>
    <w:p w14:paraId="738628F6" w14:textId="77777777" w:rsidR="000478AF" w:rsidRDefault="000478AF" w:rsidP="000478AF">
      <w:pPr>
        <w:rPr>
          <w:sz w:val="20"/>
          <w:szCs w:val="20"/>
        </w:rPr>
      </w:pPr>
    </w:p>
    <w:p w14:paraId="78FA1A3B" w14:textId="77777777" w:rsidR="000478AF" w:rsidRDefault="000478AF" w:rsidP="000478AF">
      <w:pPr>
        <w:rPr>
          <w:sz w:val="20"/>
          <w:szCs w:val="20"/>
        </w:rPr>
      </w:pPr>
    </w:p>
    <w:p w14:paraId="3732C81A" w14:textId="77777777" w:rsidR="000478AF" w:rsidRDefault="000478AF" w:rsidP="000478AF">
      <w:pPr>
        <w:rPr>
          <w:sz w:val="20"/>
          <w:szCs w:val="20"/>
        </w:rPr>
      </w:pPr>
    </w:p>
    <w:p w14:paraId="76CC672F" w14:textId="77777777" w:rsidR="000478AF" w:rsidRPr="000478AF" w:rsidRDefault="000478AF" w:rsidP="000478AF">
      <w:pPr>
        <w:rPr>
          <w:sz w:val="20"/>
          <w:szCs w:val="20"/>
        </w:rPr>
      </w:pPr>
    </w:p>
    <w:p w14:paraId="617F31F2" w14:textId="02AD0ED0" w:rsidR="0050214C" w:rsidRPr="00E52FFE" w:rsidRDefault="0050214C" w:rsidP="0050214C">
      <w:pPr>
        <w:pStyle w:val="Heading2"/>
      </w:pPr>
      <w:r w:rsidRPr="00E52FFE">
        <w:lastRenderedPageBreak/>
        <w:t xml:space="preserve">Full Reference List </w:t>
      </w:r>
    </w:p>
    <w:p w14:paraId="58F9F037" w14:textId="4CA0A0E0" w:rsidR="00465224" w:rsidRPr="00E6481C" w:rsidRDefault="00465224" w:rsidP="00465224">
      <w:pPr>
        <w:pStyle w:val="ListParagraph"/>
        <w:numPr>
          <w:ilvl w:val="0"/>
          <w:numId w:val="13"/>
        </w:numPr>
        <w:spacing w:after="160" w:line="259" w:lineRule="auto"/>
        <w:rPr>
          <w:rFonts w:cstheme="minorHAnsi"/>
          <w:sz w:val="20"/>
          <w:szCs w:val="20"/>
        </w:rPr>
      </w:pPr>
      <w:r w:rsidRPr="00E6481C">
        <w:rPr>
          <w:rFonts w:cstheme="minorHAnsi"/>
          <w:sz w:val="20"/>
          <w:szCs w:val="20"/>
        </w:rPr>
        <w:t xml:space="preserve">Holden BA, Fricke TR, Wilson DA, Jong M, Naidoo KS, Sankaridurg P, Wong TY, Naduvilath TJ, Resnikoff S. Global Prevalence of Myopia and High Myopia and Temporal Trends from 2000 through 2050. Ophthalmology. 2016 May;123(5):1036-42. </w:t>
      </w:r>
    </w:p>
    <w:p w14:paraId="6F98E276" w14:textId="0D79E991" w:rsidR="007B39D1" w:rsidRPr="00E6481C" w:rsidRDefault="007B39D1" w:rsidP="007B39D1">
      <w:pPr>
        <w:pStyle w:val="ListParagraph"/>
        <w:numPr>
          <w:ilvl w:val="0"/>
          <w:numId w:val="13"/>
        </w:numPr>
        <w:spacing w:after="160" w:line="259" w:lineRule="auto"/>
        <w:rPr>
          <w:rFonts w:cstheme="minorHAnsi"/>
          <w:sz w:val="20"/>
          <w:szCs w:val="20"/>
        </w:rPr>
      </w:pPr>
      <w:r w:rsidRPr="00E6481C">
        <w:rPr>
          <w:rFonts w:cstheme="minorHAnsi"/>
          <w:sz w:val="20"/>
          <w:szCs w:val="20"/>
        </w:rPr>
        <w:t>COMET Group. Myopia stabilization and associated factors among participants in the Correction of Myopia Evaluation Trial (COMET). Invest Ophthalmol Vis Sci. 2013 Dec 3;54(13):7871-84</w:t>
      </w:r>
      <w:r w:rsidR="00F734F0" w:rsidRPr="00E6481C">
        <w:rPr>
          <w:rFonts w:cstheme="minorHAnsi"/>
          <w:sz w:val="20"/>
          <w:szCs w:val="20"/>
        </w:rPr>
        <w:t>.</w:t>
      </w:r>
    </w:p>
    <w:p w14:paraId="6D6726EE" w14:textId="1F76E5DB" w:rsidR="00465224" w:rsidRPr="00E6481C" w:rsidRDefault="00465224" w:rsidP="00465224">
      <w:pPr>
        <w:pStyle w:val="ListParagraph"/>
        <w:numPr>
          <w:ilvl w:val="0"/>
          <w:numId w:val="13"/>
        </w:numPr>
        <w:spacing w:after="160" w:line="259" w:lineRule="auto"/>
        <w:rPr>
          <w:rFonts w:cstheme="minorHAnsi"/>
          <w:sz w:val="20"/>
          <w:szCs w:val="20"/>
        </w:rPr>
      </w:pPr>
      <w:r w:rsidRPr="00E6481C">
        <w:rPr>
          <w:rFonts w:cstheme="minorHAnsi"/>
          <w:sz w:val="20"/>
          <w:szCs w:val="20"/>
        </w:rPr>
        <w:t xml:space="preserve">Flitcroft DI. The complex interactions of retinal, optical and environmental factors in myopia aetiology. Prog Retin Eye Res. 2012 Nov;31(6):622-60. </w:t>
      </w:r>
    </w:p>
    <w:p w14:paraId="555FA5E8" w14:textId="50DA7A74" w:rsidR="00465224" w:rsidRPr="00E6481C" w:rsidRDefault="00465224" w:rsidP="00465224">
      <w:pPr>
        <w:pStyle w:val="ListParagraph"/>
        <w:numPr>
          <w:ilvl w:val="0"/>
          <w:numId w:val="13"/>
        </w:numPr>
        <w:spacing w:after="160" w:line="259" w:lineRule="auto"/>
        <w:rPr>
          <w:rFonts w:cstheme="minorHAnsi"/>
          <w:sz w:val="20"/>
          <w:szCs w:val="20"/>
        </w:rPr>
      </w:pPr>
      <w:r w:rsidRPr="00E6481C">
        <w:rPr>
          <w:rFonts w:cstheme="minorHAnsi"/>
          <w:sz w:val="20"/>
          <w:szCs w:val="20"/>
        </w:rPr>
        <w:t xml:space="preserve">Tideman JW, Snabel MC, Tedja MS, van Rijn GA, Wong KT, Kuijpers RW, Vingerling JR, Hofman A, Buitendijk GH, Keunen JE, Boon CJ, Geerards AJ, Luyten GP, Verhoeven VJ, Klaver CC. Association of Axial Length </w:t>
      </w:r>
      <w:proofErr w:type="gramStart"/>
      <w:r w:rsidRPr="00E6481C">
        <w:rPr>
          <w:rFonts w:cstheme="minorHAnsi"/>
          <w:sz w:val="20"/>
          <w:szCs w:val="20"/>
        </w:rPr>
        <w:t>With</w:t>
      </w:r>
      <w:proofErr w:type="gramEnd"/>
      <w:r w:rsidRPr="00E6481C">
        <w:rPr>
          <w:rFonts w:cstheme="minorHAnsi"/>
          <w:sz w:val="20"/>
          <w:szCs w:val="20"/>
        </w:rPr>
        <w:t xml:space="preserve"> Risk of Uncorrectable Visual Impairment for Europeans </w:t>
      </w:r>
      <w:proofErr w:type="gramStart"/>
      <w:r w:rsidRPr="00E6481C">
        <w:rPr>
          <w:rFonts w:cstheme="minorHAnsi"/>
          <w:sz w:val="20"/>
          <w:szCs w:val="20"/>
        </w:rPr>
        <w:t>With</w:t>
      </w:r>
      <w:proofErr w:type="gramEnd"/>
      <w:r w:rsidRPr="00E6481C">
        <w:rPr>
          <w:rFonts w:cstheme="minorHAnsi"/>
          <w:sz w:val="20"/>
          <w:szCs w:val="20"/>
        </w:rPr>
        <w:t xml:space="preserve"> Myopia. JAMA Ophthalmol. 2016 Dec 1;134(12):1355-1363. </w:t>
      </w:r>
    </w:p>
    <w:p w14:paraId="4488EB84" w14:textId="77777777" w:rsidR="00465224" w:rsidRPr="00E6481C" w:rsidRDefault="00465224" w:rsidP="00465224">
      <w:pPr>
        <w:pStyle w:val="ListParagraph"/>
        <w:numPr>
          <w:ilvl w:val="0"/>
          <w:numId w:val="13"/>
        </w:numPr>
        <w:spacing w:after="160" w:line="259" w:lineRule="auto"/>
        <w:rPr>
          <w:rFonts w:cstheme="minorHAnsi"/>
          <w:sz w:val="20"/>
          <w:szCs w:val="20"/>
        </w:rPr>
      </w:pPr>
      <w:r w:rsidRPr="00E6481C">
        <w:rPr>
          <w:rFonts w:cstheme="minorHAnsi"/>
          <w:sz w:val="20"/>
          <w:szCs w:val="20"/>
        </w:rPr>
        <w:t xml:space="preserve">Chua SY, Sabanayagam C, Cheung YB, Chia A, Valenzuela RK, Tan D, Wong TY, Cheng CY, Saw SM. Age of onset of myopia predicts risk of high myopia in later childhood in myopic Singapore children. Ophthalmic Physiol Opt. 2016 Jul;36(4):388-94. </w:t>
      </w:r>
    </w:p>
    <w:p w14:paraId="0994ED20" w14:textId="331B97BA" w:rsidR="00200B06" w:rsidRPr="00E6481C" w:rsidRDefault="00200B06" w:rsidP="00200B06">
      <w:pPr>
        <w:pStyle w:val="ListParagraph"/>
        <w:numPr>
          <w:ilvl w:val="0"/>
          <w:numId w:val="13"/>
        </w:numPr>
        <w:spacing w:after="160" w:line="259" w:lineRule="auto"/>
        <w:rPr>
          <w:rFonts w:cstheme="minorHAnsi"/>
          <w:sz w:val="20"/>
          <w:szCs w:val="20"/>
        </w:rPr>
      </w:pPr>
      <w:r w:rsidRPr="00E6481C">
        <w:rPr>
          <w:rFonts w:cstheme="minorHAnsi"/>
          <w:sz w:val="20"/>
          <w:szCs w:val="20"/>
        </w:rPr>
        <w:t>Brennan NA, Toubouti YM, Cheng X, Bullimore MA. Efficacy in myopia control. Prog Retin Eye Res. 2020 Nov 27:100923. doi: 10.1016/j.preteyeres.2020.100923. </w:t>
      </w:r>
    </w:p>
    <w:p w14:paraId="7D2B3B81" w14:textId="289F7D41" w:rsidR="00200B06" w:rsidRPr="00E6481C" w:rsidRDefault="00200B06" w:rsidP="00200B06">
      <w:pPr>
        <w:pStyle w:val="ListParagraph"/>
        <w:numPr>
          <w:ilvl w:val="0"/>
          <w:numId w:val="13"/>
        </w:numPr>
        <w:spacing w:after="160" w:line="259" w:lineRule="auto"/>
        <w:rPr>
          <w:rFonts w:cstheme="minorHAnsi"/>
          <w:sz w:val="20"/>
          <w:szCs w:val="20"/>
        </w:rPr>
      </w:pPr>
      <w:r w:rsidRPr="00E6481C">
        <w:rPr>
          <w:rFonts w:cstheme="minorHAnsi"/>
          <w:sz w:val="20"/>
          <w:szCs w:val="20"/>
        </w:rPr>
        <w:t>Gifford KL, Richdale K, Kang P, Aller TA, Lam CS, Liu YM, Michaud L, Mulder J, Orr JB, Rose KA, Saunders KJ, Seidel D, Tideman JWL, Sankaridurg P. IMI - Clinical Management Guidelines Report. Invest Ophthalmol Vis Sci. 2019 Feb 28;60(3):M184-M203. doi: 10.1167/iovs.18-25977.</w:t>
      </w:r>
    </w:p>
    <w:p w14:paraId="4680844F" w14:textId="7D64D05D" w:rsidR="00200B06" w:rsidRPr="00E6481C" w:rsidRDefault="00200B06" w:rsidP="00200B06">
      <w:pPr>
        <w:pStyle w:val="ListParagraph"/>
        <w:numPr>
          <w:ilvl w:val="0"/>
          <w:numId w:val="13"/>
        </w:numPr>
        <w:spacing w:after="160" w:line="259" w:lineRule="auto"/>
        <w:rPr>
          <w:rFonts w:cstheme="minorHAnsi"/>
          <w:sz w:val="20"/>
          <w:szCs w:val="20"/>
        </w:rPr>
      </w:pPr>
      <w:r w:rsidRPr="00E6481C">
        <w:rPr>
          <w:rFonts w:cstheme="minorHAnsi"/>
          <w:sz w:val="20"/>
          <w:szCs w:val="20"/>
        </w:rPr>
        <w:t xml:space="preserve">Bullimore MA, Brennan NA. Myopia Control: Why Each Diopter Matters. Optom Vis Sci. 2019 Jun;96(6):463-465. </w:t>
      </w:r>
    </w:p>
    <w:p w14:paraId="14E492B8" w14:textId="77777777" w:rsidR="0086646B" w:rsidRPr="00E6481C" w:rsidRDefault="0086646B" w:rsidP="0086646B">
      <w:pPr>
        <w:pStyle w:val="ListParagraph"/>
        <w:numPr>
          <w:ilvl w:val="0"/>
          <w:numId w:val="13"/>
        </w:numPr>
        <w:spacing w:after="160" w:line="259" w:lineRule="auto"/>
        <w:rPr>
          <w:rFonts w:cstheme="minorHAnsi"/>
          <w:sz w:val="20"/>
          <w:szCs w:val="20"/>
        </w:rPr>
      </w:pPr>
      <w:r w:rsidRPr="00E6481C">
        <w:rPr>
          <w:rFonts w:cstheme="minorHAnsi"/>
          <w:sz w:val="20"/>
          <w:szCs w:val="20"/>
        </w:rPr>
        <w:t xml:space="preserve">Stapleton F, Keay L, Edwards K, Naduvilath T, Dart JKG, Brian G, Holden BA. The Incidence of Contact Lens Related Microbial Keratitis in Australia. Ophthalmol. </w:t>
      </w:r>
      <w:proofErr w:type="gramStart"/>
      <w:r w:rsidRPr="00E6481C">
        <w:rPr>
          <w:rFonts w:cstheme="minorHAnsi"/>
          <w:sz w:val="20"/>
          <w:szCs w:val="20"/>
        </w:rPr>
        <w:t>2008;115:1655</w:t>
      </w:r>
      <w:proofErr w:type="gramEnd"/>
      <w:r w:rsidRPr="00E6481C">
        <w:rPr>
          <w:rFonts w:cstheme="minorHAnsi"/>
          <w:sz w:val="20"/>
          <w:szCs w:val="20"/>
        </w:rPr>
        <w:t>-1662.</w:t>
      </w:r>
    </w:p>
    <w:p w14:paraId="1FDD6839" w14:textId="77777777" w:rsidR="0086646B" w:rsidRPr="00E6481C" w:rsidRDefault="0086646B" w:rsidP="0086646B">
      <w:pPr>
        <w:pStyle w:val="ListParagraph"/>
        <w:numPr>
          <w:ilvl w:val="0"/>
          <w:numId w:val="13"/>
        </w:numPr>
        <w:spacing w:after="160" w:line="259" w:lineRule="auto"/>
        <w:rPr>
          <w:rFonts w:cstheme="minorHAnsi"/>
          <w:sz w:val="20"/>
          <w:szCs w:val="20"/>
        </w:rPr>
      </w:pPr>
      <w:r w:rsidRPr="00E6481C">
        <w:rPr>
          <w:rFonts w:cstheme="minorHAnsi"/>
          <w:sz w:val="20"/>
          <w:szCs w:val="20"/>
        </w:rPr>
        <w:t xml:space="preserve">Bullimore MA, Sinnott LT, Jones-Jordan LA. The risk of microbial keratitis with overnight corneal reshaping lenses. Optom Vis Sci. </w:t>
      </w:r>
      <w:proofErr w:type="gramStart"/>
      <w:r w:rsidRPr="00E6481C">
        <w:rPr>
          <w:rFonts w:cstheme="minorHAnsi"/>
          <w:sz w:val="20"/>
          <w:szCs w:val="20"/>
        </w:rPr>
        <w:t>2013;90:937</w:t>
      </w:r>
      <w:proofErr w:type="gramEnd"/>
      <w:r w:rsidRPr="00E6481C">
        <w:rPr>
          <w:rFonts w:cstheme="minorHAnsi"/>
          <w:sz w:val="20"/>
          <w:szCs w:val="20"/>
        </w:rPr>
        <w:t>-944.</w:t>
      </w:r>
    </w:p>
    <w:p w14:paraId="7763F3E0" w14:textId="0C7D6456" w:rsidR="003E660B" w:rsidRPr="00E6481C" w:rsidRDefault="003E660B" w:rsidP="0086646B">
      <w:pPr>
        <w:pStyle w:val="ListParagraph"/>
        <w:numPr>
          <w:ilvl w:val="0"/>
          <w:numId w:val="13"/>
        </w:numPr>
        <w:spacing w:after="160" w:line="259" w:lineRule="auto"/>
        <w:rPr>
          <w:rFonts w:cstheme="minorHAnsi"/>
          <w:sz w:val="20"/>
          <w:szCs w:val="20"/>
        </w:rPr>
      </w:pPr>
      <w:r w:rsidRPr="00E6481C">
        <w:rPr>
          <w:rFonts w:cstheme="minorHAnsi"/>
          <w:sz w:val="20"/>
          <w:szCs w:val="20"/>
        </w:rPr>
        <w:t xml:space="preserve">Arshad M, Carnt N, Tan J, Ekkeshis I, Stapleton F. Water Exposure and the Risk of Contact Lens-Related Disease. Cornea. 2019 Jun;38(6):791-797.  </w:t>
      </w:r>
    </w:p>
    <w:p w14:paraId="3E0C7B46" w14:textId="0EA552BE" w:rsidR="0086646B" w:rsidRPr="00E6481C" w:rsidRDefault="0086646B" w:rsidP="0086646B">
      <w:pPr>
        <w:pStyle w:val="ListParagraph"/>
        <w:numPr>
          <w:ilvl w:val="0"/>
          <w:numId w:val="13"/>
        </w:numPr>
        <w:spacing w:after="160" w:line="259" w:lineRule="auto"/>
        <w:rPr>
          <w:rFonts w:cstheme="minorHAnsi"/>
          <w:sz w:val="20"/>
          <w:szCs w:val="20"/>
        </w:rPr>
      </w:pPr>
      <w:r w:rsidRPr="00E6481C">
        <w:rPr>
          <w:rFonts w:cstheme="minorHAnsi"/>
          <w:sz w:val="20"/>
          <w:szCs w:val="20"/>
        </w:rPr>
        <w:t>Walline JJ, Gaume A, Jones LA, Rah MJ, Manny RE, Berntsen DA, Chitkara M, Kim A, Quinn N. Benefits of contact lens wear for children and teens. Eye Contact Lens. 2007;33(6 Pt 1):317-321.</w:t>
      </w:r>
    </w:p>
    <w:p w14:paraId="19B22051" w14:textId="7A37F35F" w:rsidR="0086646B" w:rsidRPr="00E6481C" w:rsidRDefault="0086646B" w:rsidP="0086646B">
      <w:pPr>
        <w:pStyle w:val="ListParagraph"/>
        <w:numPr>
          <w:ilvl w:val="0"/>
          <w:numId w:val="13"/>
        </w:numPr>
        <w:spacing w:after="160" w:line="259" w:lineRule="auto"/>
        <w:rPr>
          <w:rFonts w:cstheme="minorHAnsi"/>
          <w:sz w:val="20"/>
          <w:szCs w:val="20"/>
        </w:rPr>
      </w:pPr>
      <w:r w:rsidRPr="00E6481C">
        <w:rPr>
          <w:rFonts w:cstheme="minorHAnsi"/>
          <w:sz w:val="20"/>
          <w:szCs w:val="20"/>
        </w:rPr>
        <w:t>Bullimore MA. The Safety of Soft Contact Lenses in Children. Optom Vis Sci. 2017;94(6):638-646.</w:t>
      </w:r>
    </w:p>
    <w:p w14:paraId="69AEDBEF" w14:textId="77777777" w:rsidR="0086646B" w:rsidRPr="00E6481C" w:rsidRDefault="0086646B" w:rsidP="0086646B">
      <w:pPr>
        <w:pStyle w:val="ListParagraph"/>
        <w:numPr>
          <w:ilvl w:val="0"/>
          <w:numId w:val="13"/>
        </w:numPr>
        <w:spacing w:after="160" w:line="259" w:lineRule="auto"/>
        <w:rPr>
          <w:rFonts w:cstheme="minorHAnsi"/>
          <w:sz w:val="20"/>
          <w:szCs w:val="20"/>
        </w:rPr>
      </w:pPr>
      <w:r w:rsidRPr="00E6481C">
        <w:rPr>
          <w:rFonts w:cstheme="minorHAnsi"/>
          <w:sz w:val="20"/>
          <w:szCs w:val="20"/>
        </w:rPr>
        <w:t xml:space="preserve">Walline JJ, Jones LA, Rah MJ, Manny RE, Berntsen DA, Chitkara M, Gaume A, Kim A, Quinn N. Contact Lenses in Pediatrics (CLIP) Study: chair time and ocular health. Optom Vis Sci. </w:t>
      </w:r>
      <w:proofErr w:type="gramStart"/>
      <w:r w:rsidRPr="00E6481C">
        <w:rPr>
          <w:rFonts w:cstheme="minorHAnsi"/>
          <w:sz w:val="20"/>
          <w:szCs w:val="20"/>
        </w:rPr>
        <w:t>2007;84:896</w:t>
      </w:r>
      <w:proofErr w:type="gramEnd"/>
      <w:r w:rsidRPr="00E6481C">
        <w:rPr>
          <w:rFonts w:cstheme="minorHAnsi"/>
          <w:sz w:val="20"/>
          <w:szCs w:val="20"/>
        </w:rPr>
        <w:t>-902.</w:t>
      </w:r>
    </w:p>
    <w:p w14:paraId="0EB22751" w14:textId="3E20847C" w:rsidR="00AE06BE" w:rsidRPr="00E6481C" w:rsidRDefault="000D72A2" w:rsidP="00F734F0">
      <w:pPr>
        <w:pStyle w:val="ListParagraph"/>
        <w:numPr>
          <w:ilvl w:val="0"/>
          <w:numId w:val="13"/>
        </w:numPr>
        <w:spacing w:after="160" w:line="259" w:lineRule="auto"/>
        <w:rPr>
          <w:rFonts w:cstheme="minorHAnsi"/>
          <w:sz w:val="20"/>
          <w:szCs w:val="20"/>
        </w:rPr>
      </w:pPr>
      <w:r w:rsidRPr="00E6481C">
        <w:rPr>
          <w:rFonts w:cstheme="minorHAnsi"/>
          <w:sz w:val="20"/>
          <w:szCs w:val="20"/>
        </w:rPr>
        <w:t xml:space="preserve">Yam JC, Jiang Y, Tang SM, Law AKP, Chan JJ, Wong E, Ko ST, Young AL, Tham CC, Chen LJ, Pang CP. Low-Concentration Atropine for Myopia Progression (LAMP) Study: A Randomized, Double-Blinded, Placebo-Controlled Trial of 0.05%, 0.025%, and 0.01% Atropine Eye Drops in Myopia Control. Ophthalmology. 2019 Jan;126(1):113-124. </w:t>
      </w:r>
    </w:p>
    <w:p w14:paraId="00875866" w14:textId="62A05D31" w:rsidR="00F734F0" w:rsidRPr="00E6481C" w:rsidRDefault="00F734F0" w:rsidP="00F734F0">
      <w:pPr>
        <w:pStyle w:val="ListParagraph"/>
        <w:numPr>
          <w:ilvl w:val="0"/>
          <w:numId w:val="13"/>
        </w:numPr>
        <w:spacing w:after="160" w:line="259" w:lineRule="auto"/>
        <w:rPr>
          <w:rFonts w:cstheme="minorHAnsi"/>
          <w:sz w:val="20"/>
          <w:szCs w:val="20"/>
        </w:rPr>
      </w:pPr>
      <w:r w:rsidRPr="00E6481C">
        <w:rPr>
          <w:rFonts w:cstheme="minorHAnsi"/>
          <w:sz w:val="20"/>
          <w:szCs w:val="20"/>
        </w:rPr>
        <w:t>North RV, Kelly ME. A review of the uses and adverse effects of topical administration of atropine. Ophthalmic Physiol Opt. 1987;7(2):109-14. </w:t>
      </w:r>
    </w:p>
    <w:p w14:paraId="49488A9D" w14:textId="2F9DAE30" w:rsidR="00465224" w:rsidRPr="00E6481C" w:rsidRDefault="00947166" w:rsidP="00465224">
      <w:pPr>
        <w:pStyle w:val="ListParagraph"/>
        <w:numPr>
          <w:ilvl w:val="0"/>
          <w:numId w:val="13"/>
        </w:numPr>
        <w:spacing w:after="160" w:line="259" w:lineRule="auto"/>
        <w:rPr>
          <w:rFonts w:cstheme="minorHAnsi"/>
          <w:sz w:val="20"/>
          <w:szCs w:val="20"/>
        </w:rPr>
      </w:pPr>
      <w:r w:rsidRPr="00E6481C">
        <w:rPr>
          <w:rFonts w:cstheme="minorHAnsi"/>
          <w:sz w:val="20"/>
          <w:szCs w:val="20"/>
        </w:rPr>
        <w:t>Yang B, Ma X, Liu L, Cho P. Vision-related quality of life of Chinese children undergoing orthokeratology treatment compared to single vision spectacles. Cont Lens Anterior Eye. 2021 Aug;44(4):101350. </w:t>
      </w:r>
      <w:r w:rsidRPr="00E6481C">
        <w:rPr>
          <w:rFonts w:ascii="Segoe UI" w:hAnsi="Segoe UI" w:cs="Segoe UI"/>
          <w:color w:val="212121"/>
          <w:shd w:val="clear" w:color="auto" w:fill="FFFFFF"/>
        </w:rPr>
        <w:t xml:space="preserve"> </w:t>
      </w:r>
    </w:p>
    <w:sectPr w:rsidR="00465224" w:rsidRPr="00E6481C" w:rsidSect="00FC09FA">
      <w:footerReference w:type="default" r:id="rId24"/>
      <w:pgSz w:w="11906" w:h="16838"/>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B8CAD4" w14:textId="77777777" w:rsidR="009733E6" w:rsidRDefault="009733E6" w:rsidP="003445C5">
      <w:pPr>
        <w:spacing w:line="240" w:lineRule="auto"/>
      </w:pPr>
      <w:r>
        <w:separator/>
      </w:r>
    </w:p>
  </w:endnote>
  <w:endnote w:type="continuationSeparator" w:id="0">
    <w:p w14:paraId="77769C31" w14:textId="77777777" w:rsidR="009733E6" w:rsidRDefault="009733E6" w:rsidP="003445C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0AAD9F" w14:textId="4651AFDF" w:rsidR="003445C5" w:rsidRPr="0050214C" w:rsidRDefault="0050214C" w:rsidP="0050214C">
    <w:pPr>
      <w:jc w:val="center"/>
      <w:rPr>
        <w:sz w:val="20"/>
        <w:szCs w:val="20"/>
      </w:rPr>
    </w:pPr>
    <w:r w:rsidRPr="0050214C">
      <w:rPr>
        <w:sz w:val="20"/>
        <w:szCs w:val="20"/>
      </w:rPr>
      <w:t xml:space="preserve">For </w:t>
    </w:r>
    <w:r>
      <w:rPr>
        <w:sz w:val="20"/>
        <w:szCs w:val="20"/>
      </w:rPr>
      <w:t>more</w:t>
    </w:r>
    <w:r w:rsidRPr="0050214C">
      <w:rPr>
        <w:sz w:val="20"/>
        <w:szCs w:val="20"/>
      </w:rPr>
      <w:t xml:space="preserve"> </w:t>
    </w:r>
    <w:proofErr w:type="gramStart"/>
    <w:r w:rsidRPr="0050214C">
      <w:rPr>
        <w:sz w:val="20"/>
        <w:szCs w:val="20"/>
      </w:rPr>
      <w:t>scientifically-based</w:t>
    </w:r>
    <w:proofErr w:type="gramEnd"/>
    <w:r w:rsidRPr="0050214C">
      <w:rPr>
        <w:sz w:val="20"/>
        <w:szCs w:val="20"/>
      </w:rPr>
      <w:t xml:space="preserve">, independent advice on childhood myopia and its management, go to </w:t>
    </w:r>
    <w:r w:rsidRPr="0050214C">
      <w:rPr>
        <w:sz w:val="20"/>
        <w:szCs w:val="20"/>
        <w:u w:val="single"/>
      </w:rPr>
      <w:t>mykidsvision.org</w:t>
    </w:r>
    <w:r w:rsidRPr="0050214C">
      <w:rPr>
        <w:sz w:val="20"/>
        <w:szCs w:val="20"/>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DC5CB4" w14:textId="77777777" w:rsidR="009733E6" w:rsidRDefault="009733E6" w:rsidP="003445C5">
      <w:pPr>
        <w:spacing w:line="240" w:lineRule="auto"/>
      </w:pPr>
      <w:r>
        <w:separator/>
      </w:r>
    </w:p>
  </w:footnote>
  <w:footnote w:type="continuationSeparator" w:id="0">
    <w:p w14:paraId="0DE14DDD" w14:textId="77777777" w:rsidR="009733E6" w:rsidRDefault="009733E6" w:rsidP="003445C5">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00A2C"/>
    <w:multiLevelType w:val="hybridMultilevel"/>
    <w:tmpl w:val="C450CEC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10C75A7F"/>
    <w:multiLevelType w:val="hybridMultilevel"/>
    <w:tmpl w:val="F37EB4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2C676E8"/>
    <w:multiLevelType w:val="hybridMultilevel"/>
    <w:tmpl w:val="2800EC28"/>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15:restartNumberingAfterBreak="0">
    <w:nsid w:val="12E34034"/>
    <w:multiLevelType w:val="hybridMultilevel"/>
    <w:tmpl w:val="79482F9E"/>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 w15:restartNumberingAfterBreak="0">
    <w:nsid w:val="1D3E1CA7"/>
    <w:multiLevelType w:val="hybridMultilevel"/>
    <w:tmpl w:val="C7827532"/>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 w15:restartNumberingAfterBreak="0">
    <w:nsid w:val="2C6A2B70"/>
    <w:multiLevelType w:val="hybridMultilevel"/>
    <w:tmpl w:val="E2BCDACC"/>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 w15:restartNumberingAfterBreak="0">
    <w:nsid w:val="31781806"/>
    <w:multiLevelType w:val="hybridMultilevel"/>
    <w:tmpl w:val="A81E02C8"/>
    <w:lvl w:ilvl="0" w:tplc="08090001">
      <w:start w:val="1"/>
      <w:numFmt w:val="bullet"/>
      <w:lvlText w:val=""/>
      <w:lvlJc w:val="left"/>
      <w:pPr>
        <w:ind w:left="777" w:hanging="360"/>
      </w:pPr>
      <w:rPr>
        <w:rFonts w:ascii="Symbol" w:hAnsi="Symbol" w:hint="default"/>
      </w:rPr>
    </w:lvl>
    <w:lvl w:ilvl="1" w:tplc="08090003" w:tentative="1">
      <w:start w:val="1"/>
      <w:numFmt w:val="bullet"/>
      <w:lvlText w:val="o"/>
      <w:lvlJc w:val="left"/>
      <w:pPr>
        <w:ind w:left="1497" w:hanging="360"/>
      </w:pPr>
      <w:rPr>
        <w:rFonts w:ascii="Courier New" w:hAnsi="Courier New" w:cs="Courier New" w:hint="default"/>
      </w:rPr>
    </w:lvl>
    <w:lvl w:ilvl="2" w:tplc="08090005" w:tentative="1">
      <w:start w:val="1"/>
      <w:numFmt w:val="bullet"/>
      <w:lvlText w:val=""/>
      <w:lvlJc w:val="left"/>
      <w:pPr>
        <w:ind w:left="2217" w:hanging="360"/>
      </w:pPr>
      <w:rPr>
        <w:rFonts w:ascii="Wingdings" w:hAnsi="Wingdings" w:hint="default"/>
      </w:rPr>
    </w:lvl>
    <w:lvl w:ilvl="3" w:tplc="08090001" w:tentative="1">
      <w:start w:val="1"/>
      <w:numFmt w:val="bullet"/>
      <w:lvlText w:val=""/>
      <w:lvlJc w:val="left"/>
      <w:pPr>
        <w:ind w:left="2937" w:hanging="360"/>
      </w:pPr>
      <w:rPr>
        <w:rFonts w:ascii="Symbol" w:hAnsi="Symbol" w:hint="default"/>
      </w:rPr>
    </w:lvl>
    <w:lvl w:ilvl="4" w:tplc="08090003" w:tentative="1">
      <w:start w:val="1"/>
      <w:numFmt w:val="bullet"/>
      <w:lvlText w:val="o"/>
      <w:lvlJc w:val="left"/>
      <w:pPr>
        <w:ind w:left="3657" w:hanging="360"/>
      </w:pPr>
      <w:rPr>
        <w:rFonts w:ascii="Courier New" w:hAnsi="Courier New" w:cs="Courier New" w:hint="default"/>
      </w:rPr>
    </w:lvl>
    <w:lvl w:ilvl="5" w:tplc="08090005" w:tentative="1">
      <w:start w:val="1"/>
      <w:numFmt w:val="bullet"/>
      <w:lvlText w:val=""/>
      <w:lvlJc w:val="left"/>
      <w:pPr>
        <w:ind w:left="4377" w:hanging="360"/>
      </w:pPr>
      <w:rPr>
        <w:rFonts w:ascii="Wingdings" w:hAnsi="Wingdings" w:hint="default"/>
      </w:rPr>
    </w:lvl>
    <w:lvl w:ilvl="6" w:tplc="08090001" w:tentative="1">
      <w:start w:val="1"/>
      <w:numFmt w:val="bullet"/>
      <w:lvlText w:val=""/>
      <w:lvlJc w:val="left"/>
      <w:pPr>
        <w:ind w:left="5097" w:hanging="360"/>
      </w:pPr>
      <w:rPr>
        <w:rFonts w:ascii="Symbol" w:hAnsi="Symbol" w:hint="default"/>
      </w:rPr>
    </w:lvl>
    <w:lvl w:ilvl="7" w:tplc="08090003" w:tentative="1">
      <w:start w:val="1"/>
      <w:numFmt w:val="bullet"/>
      <w:lvlText w:val="o"/>
      <w:lvlJc w:val="left"/>
      <w:pPr>
        <w:ind w:left="5817" w:hanging="360"/>
      </w:pPr>
      <w:rPr>
        <w:rFonts w:ascii="Courier New" w:hAnsi="Courier New" w:cs="Courier New" w:hint="default"/>
      </w:rPr>
    </w:lvl>
    <w:lvl w:ilvl="8" w:tplc="08090005" w:tentative="1">
      <w:start w:val="1"/>
      <w:numFmt w:val="bullet"/>
      <w:lvlText w:val=""/>
      <w:lvlJc w:val="left"/>
      <w:pPr>
        <w:ind w:left="6537" w:hanging="360"/>
      </w:pPr>
      <w:rPr>
        <w:rFonts w:ascii="Wingdings" w:hAnsi="Wingdings" w:hint="default"/>
      </w:rPr>
    </w:lvl>
  </w:abstractNum>
  <w:abstractNum w:abstractNumId="7" w15:restartNumberingAfterBreak="0">
    <w:nsid w:val="397C02DF"/>
    <w:multiLevelType w:val="hybridMultilevel"/>
    <w:tmpl w:val="28AA666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46D1100C"/>
    <w:multiLevelType w:val="hybridMultilevel"/>
    <w:tmpl w:val="A3C08CF8"/>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4D323C4B"/>
    <w:multiLevelType w:val="hybridMultilevel"/>
    <w:tmpl w:val="B934721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5736B8E"/>
    <w:multiLevelType w:val="hybridMultilevel"/>
    <w:tmpl w:val="EFA6474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99F0333"/>
    <w:multiLevelType w:val="hybridMultilevel"/>
    <w:tmpl w:val="FB56BB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239641D"/>
    <w:multiLevelType w:val="hybridMultilevel"/>
    <w:tmpl w:val="F222AF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25C3A56"/>
    <w:multiLevelType w:val="hybridMultilevel"/>
    <w:tmpl w:val="1DAEE7D2"/>
    <w:lvl w:ilvl="0" w:tplc="B464CD0E">
      <w:start w:val="1"/>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76E4378"/>
    <w:multiLevelType w:val="hybridMultilevel"/>
    <w:tmpl w:val="048250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0315706"/>
    <w:multiLevelType w:val="multilevel"/>
    <w:tmpl w:val="8C9002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7AC706C2"/>
    <w:multiLevelType w:val="hybridMultilevel"/>
    <w:tmpl w:val="46C0826A"/>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16cid:durableId="1599020838">
    <w:abstractNumId w:val="14"/>
  </w:num>
  <w:num w:numId="2" w16cid:durableId="301204140">
    <w:abstractNumId w:val="0"/>
  </w:num>
  <w:num w:numId="3" w16cid:durableId="1219703115">
    <w:abstractNumId w:val="6"/>
  </w:num>
  <w:num w:numId="4" w16cid:durableId="1531646303">
    <w:abstractNumId w:val="1"/>
  </w:num>
  <w:num w:numId="5" w16cid:durableId="665086779">
    <w:abstractNumId w:val="10"/>
  </w:num>
  <w:num w:numId="6" w16cid:durableId="1597206527">
    <w:abstractNumId w:val="11"/>
  </w:num>
  <w:num w:numId="7" w16cid:durableId="1823423784">
    <w:abstractNumId w:val="7"/>
  </w:num>
  <w:num w:numId="8" w16cid:durableId="1354303342">
    <w:abstractNumId w:val="9"/>
  </w:num>
  <w:num w:numId="9" w16cid:durableId="672337655">
    <w:abstractNumId w:val="12"/>
  </w:num>
  <w:num w:numId="10" w16cid:durableId="1589263703">
    <w:abstractNumId w:val="13"/>
  </w:num>
  <w:num w:numId="11" w16cid:durableId="1119030445">
    <w:abstractNumId w:val="5"/>
  </w:num>
  <w:num w:numId="12" w16cid:durableId="677274556">
    <w:abstractNumId w:val="16"/>
  </w:num>
  <w:num w:numId="13" w16cid:durableId="269626669">
    <w:abstractNumId w:val="4"/>
  </w:num>
  <w:num w:numId="14" w16cid:durableId="1078789406">
    <w:abstractNumId w:val="8"/>
  </w:num>
  <w:num w:numId="15" w16cid:durableId="751897612">
    <w:abstractNumId w:val="3"/>
  </w:num>
  <w:num w:numId="16" w16cid:durableId="84112236">
    <w:abstractNumId w:val="15"/>
  </w:num>
  <w:num w:numId="17" w16cid:durableId="16133157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475A"/>
    <w:rsid w:val="000478AF"/>
    <w:rsid w:val="000D72A2"/>
    <w:rsid w:val="000E489C"/>
    <w:rsid w:val="00200B06"/>
    <w:rsid w:val="00205EA2"/>
    <w:rsid w:val="0021185D"/>
    <w:rsid w:val="002E3601"/>
    <w:rsid w:val="003445C5"/>
    <w:rsid w:val="00344AC4"/>
    <w:rsid w:val="00353114"/>
    <w:rsid w:val="003A1771"/>
    <w:rsid w:val="003E2A41"/>
    <w:rsid w:val="003E660B"/>
    <w:rsid w:val="004063F5"/>
    <w:rsid w:val="0043522E"/>
    <w:rsid w:val="0044751B"/>
    <w:rsid w:val="00465224"/>
    <w:rsid w:val="004B1F9F"/>
    <w:rsid w:val="0050214C"/>
    <w:rsid w:val="005370A9"/>
    <w:rsid w:val="0057087D"/>
    <w:rsid w:val="00574C52"/>
    <w:rsid w:val="005A5A23"/>
    <w:rsid w:val="00604649"/>
    <w:rsid w:val="00636517"/>
    <w:rsid w:val="00675578"/>
    <w:rsid w:val="00686C25"/>
    <w:rsid w:val="006A4BF7"/>
    <w:rsid w:val="00775BD1"/>
    <w:rsid w:val="007B39D1"/>
    <w:rsid w:val="007C4118"/>
    <w:rsid w:val="007C6515"/>
    <w:rsid w:val="008453EC"/>
    <w:rsid w:val="008617E8"/>
    <w:rsid w:val="0086646B"/>
    <w:rsid w:val="00894C38"/>
    <w:rsid w:val="00915E2C"/>
    <w:rsid w:val="00947166"/>
    <w:rsid w:val="00952094"/>
    <w:rsid w:val="009733E6"/>
    <w:rsid w:val="009B45C3"/>
    <w:rsid w:val="00A01827"/>
    <w:rsid w:val="00A8274A"/>
    <w:rsid w:val="00AE06BE"/>
    <w:rsid w:val="00AE78EA"/>
    <w:rsid w:val="00AF412E"/>
    <w:rsid w:val="00AF475A"/>
    <w:rsid w:val="00B85BD7"/>
    <w:rsid w:val="00C16DDD"/>
    <w:rsid w:val="00D524A0"/>
    <w:rsid w:val="00DA2CF1"/>
    <w:rsid w:val="00E52FFE"/>
    <w:rsid w:val="00E6481C"/>
    <w:rsid w:val="00E65901"/>
    <w:rsid w:val="00E76BEB"/>
    <w:rsid w:val="00F04A16"/>
    <w:rsid w:val="00F734F0"/>
    <w:rsid w:val="00F9013A"/>
    <w:rsid w:val="00FA5DF1"/>
    <w:rsid w:val="00FC09FA"/>
  </w:rsids>
  <m:mathPr>
    <m:mathFont m:val="Cambria Math"/>
    <m:brkBin m:val="before"/>
    <m:brkBinSub m:val="--"/>
    <m:smallFrac m:val="0"/>
    <m:dispDef/>
    <m:lMargin m:val="0"/>
    <m:rMargin m:val="0"/>
    <m:defJc m:val="centerGroup"/>
    <m:wrapIndent m:val="1440"/>
    <m:intLim m:val="subSup"/>
    <m:naryLim m:val="undOvr"/>
  </m:mathPr>
  <w:themeFontLang w:val="en-AU"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CF2CF8"/>
  <w15:chartTrackingRefBased/>
  <w15:docId w15:val="{E3021FF2-5594-104F-9C2A-FEF4C7B37B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AU"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01827"/>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AF475A"/>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205EA2"/>
    <w:pPr>
      <w:keepNext/>
      <w:keepLines/>
      <w:spacing w:before="40"/>
      <w:outlineLvl w:val="2"/>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AF475A"/>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205EA2"/>
    <w:rPr>
      <w:rFonts w:asciiTheme="majorHAnsi" w:eastAsiaTheme="majorEastAsia" w:hAnsiTheme="majorHAnsi" w:cstheme="majorBidi"/>
      <w:color w:val="1F3763" w:themeColor="accent1" w:themeShade="7F"/>
    </w:rPr>
  </w:style>
  <w:style w:type="paragraph" w:styleId="ListParagraph">
    <w:name w:val="List Paragraph"/>
    <w:basedOn w:val="Normal"/>
    <w:uiPriority w:val="34"/>
    <w:qFormat/>
    <w:rsid w:val="00AF412E"/>
    <w:pPr>
      <w:ind w:left="720"/>
      <w:contextualSpacing/>
    </w:pPr>
  </w:style>
  <w:style w:type="paragraph" w:styleId="Header">
    <w:name w:val="header"/>
    <w:basedOn w:val="Normal"/>
    <w:link w:val="HeaderChar"/>
    <w:uiPriority w:val="99"/>
    <w:unhideWhenUsed/>
    <w:rsid w:val="003445C5"/>
    <w:pPr>
      <w:tabs>
        <w:tab w:val="center" w:pos="4513"/>
        <w:tab w:val="right" w:pos="9026"/>
      </w:tabs>
      <w:spacing w:line="240" w:lineRule="auto"/>
    </w:pPr>
  </w:style>
  <w:style w:type="character" w:customStyle="1" w:styleId="HeaderChar">
    <w:name w:val="Header Char"/>
    <w:basedOn w:val="DefaultParagraphFont"/>
    <w:link w:val="Header"/>
    <w:uiPriority w:val="99"/>
    <w:rsid w:val="003445C5"/>
  </w:style>
  <w:style w:type="paragraph" w:styleId="Footer">
    <w:name w:val="footer"/>
    <w:basedOn w:val="Normal"/>
    <w:link w:val="FooterChar"/>
    <w:uiPriority w:val="99"/>
    <w:unhideWhenUsed/>
    <w:rsid w:val="003445C5"/>
    <w:pPr>
      <w:tabs>
        <w:tab w:val="center" w:pos="4513"/>
        <w:tab w:val="right" w:pos="9026"/>
      </w:tabs>
      <w:spacing w:line="240" w:lineRule="auto"/>
    </w:pPr>
  </w:style>
  <w:style w:type="character" w:customStyle="1" w:styleId="FooterChar">
    <w:name w:val="Footer Char"/>
    <w:basedOn w:val="DefaultParagraphFont"/>
    <w:link w:val="Footer"/>
    <w:uiPriority w:val="99"/>
    <w:rsid w:val="003445C5"/>
  </w:style>
  <w:style w:type="character" w:styleId="Hyperlink">
    <w:name w:val="Hyperlink"/>
    <w:basedOn w:val="DefaultParagraphFont"/>
    <w:uiPriority w:val="99"/>
    <w:unhideWhenUsed/>
    <w:rsid w:val="003445C5"/>
    <w:rPr>
      <w:color w:val="0563C1" w:themeColor="hyperlink"/>
      <w:u w:val="single"/>
    </w:rPr>
  </w:style>
  <w:style w:type="character" w:styleId="UnresolvedMention">
    <w:name w:val="Unresolved Mention"/>
    <w:basedOn w:val="DefaultParagraphFont"/>
    <w:uiPriority w:val="99"/>
    <w:semiHidden/>
    <w:unhideWhenUsed/>
    <w:rsid w:val="00465224"/>
    <w:rPr>
      <w:color w:val="605E5C"/>
      <w:shd w:val="clear" w:color="auto" w:fill="E1DFDD"/>
    </w:rPr>
  </w:style>
  <w:style w:type="character" w:styleId="Emphasis">
    <w:name w:val="Emphasis"/>
    <w:basedOn w:val="DefaultParagraphFont"/>
    <w:uiPriority w:val="20"/>
    <w:qFormat/>
    <w:rsid w:val="00AE06BE"/>
    <w:rPr>
      <w:i/>
      <w:iCs/>
    </w:rPr>
  </w:style>
  <w:style w:type="character" w:customStyle="1" w:styleId="Heading1Char">
    <w:name w:val="Heading 1 Char"/>
    <w:basedOn w:val="DefaultParagraphFont"/>
    <w:link w:val="Heading1"/>
    <w:uiPriority w:val="9"/>
    <w:rsid w:val="00A01827"/>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54268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pubmed.ncbi.nlm.nih.gov/24159085/" TargetMode="External"/><Relationship Id="rId13" Type="http://schemas.openxmlformats.org/officeDocument/2006/relationships/hyperlink" Target="https://pubmed.ncbi.nlm.nih.gov/30817832/" TargetMode="External"/><Relationship Id="rId18" Type="http://schemas.openxmlformats.org/officeDocument/2006/relationships/hyperlink" Target="https://pubmed.ncbi.nlm.nih.gov/17993828/" TargetMode="Externa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s://pubmed.ncbi.nlm.nih.gov/30514630/" TargetMode="External"/><Relationship Id="rId7" Type="http://schemas.openxmlformats.org/officeDocument/2006/relationships/hyperlink" Target="https://pubmed.ncbi.nlm.nih.gov/26875007/" TargetMode="External"/><Relationship Id="rId12" Type="http://schemas.openxmlformats.org/officeDocument/2006/relationships/hyperlink" Target="https://pubmed.ncbi.nlm.nih.gov/33253901/" TargetMode="External"/><Relationship Id="rId17" Type="http://schemas.openxmlformats.org/officeDocument/2006/relationships/hyperlink" Target="https://pubmed.ncbi.nlm.nih.gov/30789440/"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pubmed.ncbi.nlm.nih.gov/23892491/" TargetMode="External"/><Relationship Id="rId20" Type="http://schemas.openxmlformats.org/officeDocument/2006/relationships/hyperlink" Target="https://pubmed.ncbi.nlm.nih.gov/17873776/"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pubmed.ncbi.nlm.nih.gov/27350183/" TargetMode="External"/><Relationship Id="rId24"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yperlink" Target="https://pubmed.ncbi.nlm.nih.gov/18538404/" TargetMode="External"/><Relationship Id="rId23" Type="http://schemas.openxmlformats.org/officeDocument/2006/relationships/hyperlink" Target="https://pubmed.ncbi.nlm.nih.gov/32674999/" TargetMode="External"/><Relationship Id="rId10" Type="http://schemas.openxmlformats.org/officeDocument/2006/relationships/hyperlink" Target="https://pubmed.ncbi.nlm.nih.gov/27768171/" TargetMode="External"/><Relationship Id="rId19" Type="http://schemas.openxmlformats.org/officeDocument/2006/relationships/hyperlink" Target="https://pubmed.ncbi.nlm.nih.gov/28514244/" TargetMode="External"/><Relationship Id="rId4" Type="http://schemas.openxmlformats.org/officeDocument/2006/relationships/webSettings" Target="webSettings.xml"/><Relationship Id="rId9" Type="http://schemas.openxmlformats.org/officeDocument/2006/relationships/hyperlink" Target="https://pubmed.ncbi.nlm.nih.gov/22772022/" TargetMode="External"/><Relationship Id="rId14" Type="http://schemas.openxmlformats.org/officeDocument/2006/relationships/hyperlink" Target="https://pubmed.ncbi.nlm.nih.gov/31116165/" TargetMode="External"/><Relationship Id="rId22" Type="http://schemas.openxmlformats.org/officeDocument/2006/relationships/hyperlink" Target="https://pubmed.ncbi.nlm.nih.gov/295876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2333</Words>
  <Characters>13301</Characters>
  <Application>Microsoft Office Word</Application>
  <DocSecurity>0</DocSecurity>
  <Lines>110</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15603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 Gifford</dc:creator>
  <cp:keywords/>
  <dc:description/>
  <cp:lastModifiedBy>James Hoffman</cp:lastModifiedBy>
  <cp:revision>2</cp:revision>
  <dcterms:created xsi:type="dcterms:W3CDTF">2026-02-06T01:34:00Z</dcterms:created>
  <dcterms:modified xsi:type="dcterms:W3CDTF">2026-02-06T01:34:00Z</dcterms:modified>
</cp:coreProperties>
</file>